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2C0753">
      <w:pPr>
        <w:spacing w:line="240" w:lineRule="auto"/>
        <w:jc w:val="center"/>
        <w:rPr>
          <w:sz w:val="84"/>
          <w:szCs w:val="84"/>
          <w:highlight w:val="none"/>
        </w:rPr>
      </w:pPr>
    </w:p>
    <w:p w14:paraId="3321AC9B">
      <w:pPr>
        <w:spacing w:line="240" w:lineRule="auto"/>
        <w:jc w:val="center"/>
        <w:rPr>
          <w:sz w:val="84"/>
          <w:szCs w:val="84"/>
          <w:highlight w:val="none"/>
        </w:rPr>
      </w:pPr>
      <w:r>
        <w:rPr>
          <w:rFonts w:hint="eastAsia"/>
          <w:sz w:val="84"/>
          <w:szCs w:val="84"/>
          <w:highlight w:val="none"/>
        </w:rPr>
        <w:t>询</w:t>
      </w:r>
    </w:p>
    <w:p w14:paraId="2DE78BA7">
      <w:pPr>
        <w:spacing w:line="240" w:lineRule="auto"/>
        <w:jc w:val="center"/>
        <w:rPr>
          <w:sz w:val="84"/>
          <w:szCs w:val="84"/>
          <w:highlight w:val="none"/>
        </w:rPr>
      </w:pPr>
      <w:r>
        <w:rPr>
          <w:rFonts w:hint="eastAsia"/>
          <w:sz w:val="84"/>
          <w:szCs w:val="84"/>
          <w:highlight w:val="none"/>
        </w:rPr>
        <w:t>价</w:t>
      </w:r>
    </w:p>
    <w:p w14:paraId="26E55B3D">
      <w:pPr>
        <w:spacing w:line="240" w:lineRule="auto"/>
        <w:jc w:val="center"/>
        <w:rPr>
          <w:sz w:val="84"/>
          <w:szCs w:val="84"/>
          <w:highlight w:val="none"/>
        </w:rPr>
      </w:pPr>
      <w:r>
        <w:rPr>
          <w:rFonts w:hint="eastAsia"/>
          <w:sz w:val="84"/>
          <w:szCs w:val="84"/>
          <w:highlight w:val="none"/>
        </w:rPr>
        <w:t>文</w:t>
      </w:r>
    </w:p>
    <w:p w14:paraId="47E9F745">
      <w:pPr>
        <w:spacing w:line="360" w:lineRule="auto"/>
        <w:jc w:val="center"/>
        <w:rPr>
          <w:sz w:val="84"/>
          <w:szCs w:val="84"/>
          <w:highlight w:val="none"/>
        </w:rPr>
      </w:pPr>
      <w:r>
        <w:rPr>
          <w:rFonts w:hint="eastAsia"/>
          <w:sz w:val="84"/>
          <w:szCs w:val="84"/>
          <w:highlight w:val="none"/>
        </w:rPr>
        <w:t>件</w:t>
      </w:r>
    </w:p>
    <w:p w14:paraId="75BFF02C">
      <w:pPr>
        <w:spacing w:line="360" w:lineRule="auto"/>
        <w:ind w:firstLine="640" w:firstLineChars="200"/>
        <w:rPr>
          <w:rFonts w:asciiTheme="minorEastAsia" w:hAnsiTheme="minorEastAsia" w:cstheme="minorEastAsia"/>
          <w:sz w:val="32"/>
          <w:szCs w:val="32"/>
          <w:highlight w:val="none"/>
        </w:rPr>
      </w:pPr>
    </w:p>
    <w:p w14:paraId="5F6DCD94">
      <w:pPr>
        <w:spacing w:line="360" w:lineRule="auto"/>
        <w:ind w:firstLine="640" w:firstLineChars="200"/>
        <w:rPr>
          <w:rFonts w:asciiTheme="minorEastAsia" w:hAnsiTheme="minorEastAsia" w:cstheme="minorEastAsia"/>
          <w:sz w:val="32"/>
          <w:szCs w:val="32"/>
          <w:highlight w:val="none"/>
        </w:rPr>
      </w:pPr>
    </w:p>
    <w:p w14:paraId="1274A1E0">
      <w:pPr>
        <w:spacing w:line="360" w:lineRule="auto"/>
        <w:ind w:firstLine="640" w:firstLineChars="200"/>
        <w:rPr>
          <w:rFonts w:asciiTheme="minorEastAsia" w:hAnsiTheme="minorEastAsia" w:cstheme="minorEastAsia"/>
          <w:sz w:val="32"/>
          <w:szCs w:val="32"/>
          <w:highlight w:val="none"/>
        </w:rPr>
      </w:pPr>
    </w:p>
    <w:p w14:paraId="1F72D290">
      <w:pPr>
        <w:ind w:firstLine="1600" w:firstLineChars="500"/>
        <w:rPr>
          <w:rFonts w:hint="eastAsia" w:eastAsia="宋体" w:cstheme="minorEastAsia"/>
          <w:sz w:val="32"/>
          <w:szCs w:val="32"/>
          <w:highlight w:val="none"/>
          <w:lang w:eastAsia="zh-CN"/>
        </w:rPr>
      </w:pPr>
      <w:r>
        <w:rPr>
          <w:rFonts w:hint="eastAsia" w:cstheme="minorEastAsia"/>
          <w:sz w:val="32"/>
          <w:szCs w:val="32"/>
          <w:highlight w:val="none"/>
        </w:rPr>
        <w:t>项目编号：</w:t>
      </w:r>
      <w:r>
        <w:rPr>
          <w:rFonts w:hint="eastAsia"/>
          <w:sz w:val="32"/>
          <w:szCs w:val="32"/>
          <w:highlight w:val="none"/>
        </w:rPr>
        <w:t>X</w:t>
      </w:r>
      <w:r>
        <w:rPr>
          <w:sz w:val="32"/>
          <w:szCs w:val="32"/>
          <w:highlight w:val="none"/>
        </w:rPr>
        <w:t>Y</w:t>
      </w:r>
      <w:r>
        <w:rPr>
          <w:rFonts w:hint="eastAsia"/>
          <w:sz w:val="32"/>
          <w:szCs w:val="32"/>
          <w:highlight w:val="none"/>
        </w:rPr>
        <w:t>GL-CGXJ-202</w:t>
      </w:r>
      <w:r>
        <w:rPr>
          <w:sz w:val="32"/>
          <w:szCs w:val="32"/>
          <w:highlight w:val="none"/>
        </w:rPr>
        <w:t>6</w:t>
      </w:r>
      <w:r>
        <w:rPr>
          <w:rFonts w:hint="eastAsia"/>
          <w:sz w:val="32"/>
          <w:szCs w:val="32"/>
          <w:highlight w:val="none"/>
        </w:rPr>
        <w:t>-0</w:t>
      </w:r>
      <w:r>
        <w:rPr>
          <w:rFonts w:hint="eastAsia"/>
          <w:sz w:val="32"/>
          <w:szCs w:val="32"/>
          <w:highlight w:val="none"/>
          <w:lang w:val="en-US" w:eastAsia="zh-CN"/>
        </w:rPr>
        <w:t>7</w:t>
      </w:r>
    </w:p>
    <w:p w14:paraId="27DF8326">
      <w:pPr>
        <w:ind w:firstLine="1600" w:firstLineChars="500"/>
        <w:rPr>
          <w:rFonts w:hint="eastAsia"/>
          <w:sz w:val="32"/>
          <w:szCs w:val="32"/>
          <w:highlight w:val="none"/>
        </w:rPr>
      </w:pPr>
      <w:r>
        <w:rPr>
          <w:rFonts w:hint="eastAsia"/>
          <w:sz w:val="32"/>
          <w:szCs w:val="32"/>
          <w:highlight w:val="none"/>
        </w:rPr>
        <w:t>项目名称：</w:t>
      </w:r>
      <w:bookmarkStart w:id="0" w:name="OLE_LINK1"/>
      <w:bookmarkStart w:id="1" w:name="_Hlk195211263"/>
      <w:r>
        <w:rPr>
          <w:rFonts w:hint="eastAsia"/>
          <w:sz w:val="32"/>
          <w:szCs w:val="32"/>
          <w:highlight w:val="none"/>
        </w:rPr>
        <w:t>中国矿业大学徐海</w:t>
      </w:r>
      <w:bookmarkEnd w:id="0"/>
      <w:bookmarkEnd w:id="1"/>
      <w:r>
        <w:rPr>
          <w:rFonts w:hint="eastAsia"/>
          <w:sz w:val="32"/>
          <w:szCs w:val="32"/>
          <w:highlight w:val="none"/>
        </w:rPr>
        <w:t>学院网络安全</w:t>
      </w:r>
      <w:r>
        <w:rPr>
          <w:rFonts w:hint="eastAsia"/>
          <w:sz w:val="32"/>
          <w:szCs w:val="32"/>
          <w:highlight w:val="none"/>
          <w:lang w:val="en-US" w:eastAsia="zh-CN"/>
        </w:rPr>
        <w:t>等级</w:t>
      </w:r>
      <w:r>
        <w:rPr>
          <w:rFonts w:hint="eastAsia"/>
          <w:sz w:val="32"/>
          <w:szCs w:val="32"/>
          <w:highlight w:val="none"/>
        </w:rPr>
        <w:t>保护</w:t>
      </w:r>
    </w:p>
    <w:p w14:paraId="13049D08">
      <w:pPr>
        <w:ind w:firstLine="3200" w:firstLineChars="1000"/>
        <w:rPr>
          <w:highlight w:val="none"/>
        </w:rPr>
      </w:pPr>
      <w:r>
        <w:rPr>
          <w:rFonts w:hint="eastAsia"/>
          <w:sz w:val="32"/>
          <w:szCs w:val="32"/>
          <w:highlight w:val="none"/>
        </w:rPr>
        <w:t>测评服务项目</w:t>
      </w:r>
    </w:p>
    <w:p w14:paraId="3308F0A8">
      <w:pPr>
        <w:spacing w:line="360" w:lineRule="auto"/>
        <w:ind w:firstLine="1040" w:firstLineChars="200"/>
        <w:rPr>
          <w:rFonts w:cs="宋体"/>
          <w:sz w:val="52"/>
          <w:szCs w:val="52"/>
          <w:highlight w:val="none"/>
        </w:rPr>
      </w:pPr>
    </w:p>
    <w:p w14:paraId="79053212">
      <w:pPr>
        <w:spacing w:line="360" w:lineRule="auto"/>
        <w:ind w:firstLine="1040" w:firstLineChars="200"/>
        <w:rPr>
          <w:rFonts w:cs="宋体"/>
          <w:sz w:val="52"/>
          <w:szCs w:val="52"/>
          <w:highlight w:val="none"/>
        </w:rPr>
      </w:pPr>
    </w:p>
    <w:p w14:paraId="575EE2F6">
      <w:pPr>
        <w:jc w:val="center"/>
        <w:rPr>
          <w:rFonts w:cs="Times New Roman"/>
          <w:sz w:val="32"/>
          <w:szCs w:val="32"/>
          <w:highlight w:val="none"/>
        </w:rPr>
      </w:pPr>
      <w:r>
        <w:rPr>
          <w:rFonts w:hint="eastAsia"/>
          <w:sz w:val="32"/>
          <w:szCs w:val="32"/>
          <w:highlight w:val="none"/>
        </w:rPr>
        <w:t>采购人：中国矿业大学徐海学院</w:t>
      </w:r>
    </w:p>
    <w:p w14:paraId="6E35CC1C">
      <w:pPr>
        <w:jc w:val="center"/>
        <w:rPr>
          <w:sz w:val="32"/>
          <w:szCs w:val="32"/>
          <w:highlight w:val="none"/>
        </w:rPr>
      </w:pPr>
    </w:p>
    <w:p w14:paraId="20E438B9">
      <w:pPr>
        <w:jc w:val="center"/>
        <w:rPr>
          <w:sz w:val="32"/>
          <w:szCs w:val="32"/>
          <w:highlight w:val="none"/>
        </w:rPr>
        <w:sectPr>
          <w:footerReference r:id="rId7" w:type="first"/>
          <w:headerReference r:id="rId5" w:type="default"/>
          <w:footerReference r:id="rId6" w:type="default"/>
          <w:pgSz w:w="11906" w:h="16838"/>
          <w:pgMar w:top="1474" w:right="991" w:bottom="1474" w:left="1531" w:header="851" w:footer="992" w:gutter="0"/>
          <w:pgNumType w:start="0"/>
          <w:cols w:space="720" w:num="1"/>
          <w:titlePg/>
          <w:docGrid w:type="lines" w:linePitch="312" w:charSpace="0"/>
        </w:sectPr>
      </w:pPr>
      <w:r>
        <w:rPr>
          <w:rFonts w:hint="eastAsia"/>
          <w:sz w:val="32"/>
          <w:szCs w:val="32"/>
          <w:highlight w:val="none"/>
        </w:rPr>
        <w:t>202</w:t>
      </w:r>
      <w:r>
        <w:rPr>
          <w:sz w:val="32"/>
          <w:szCs w:val="32"/>
          <w:highlight w:val="none"/>
        </w:rPr>
        <w:t>6</w:t>
      </w:r>
      <w:r>
        <w:rPr>
          <w:rFonts w:hint="eastAsia"/>
          <w:sz w:val="32"/>
          <w:szCs w:val="32"/>
          <w:highlight w:val="none"/>
        </w:rPr>
        <w:t>年9月</w:t>
      </w:r>
    </w:p>
    <w:p w14:paraId="6E60D012">
      <w:pPr>
        <w:jc w:val="center"/>
        <w:rPr>
          <w:b/>
          <w:bCs/>
          <w:sz w:val="36"/>
          <w:szCs w:val="36"/>
          <w:highlight w:val="none"/>
        </w:rPr>
      </w:pPr>
      <w:bookmarkStart w:id="2" w:name="OLE_LINK3"/>
      <w:bookmarkStart w:id="3" w:name="OLE_LINK2"/>
      <w:r>
        <w:rPr>
          <w:rFonts w:hint="eastAsia"/>
          <w:b/>
          <w:bCs/>
          <w:sz w:val="36"/>
          <w:szCs w:val="36"/>
          <w:highlight w:val="none"/>
        </w:rPr>
        <w:t>中国矿业大学徐海学院</w:t>
      </w:r>
      <w:r>
        <w:rPr>
          <w:rFonts w:hint="eastAsia"/>
          <w:b/>
          <w:bCs/>
          <w:sz w:val="36"/>
          <w:szCs w:val="36"/>
          <w:highlight w:val="none"/>
          <w:lang w:eastAsia="zh-CN"/>
        </w:rPr>
        <w:t>网络安全等级保护</w:t>
      </w:r>
      <w:r>
        <w:rPr>
          <w:rFonts w:hint="eastAsia"/>
          <w:b/>
          <w:bCs/>
          <w:sz w:val="36"/>
          <w:szCs w:val="36"/>
          <w:highlight w:val="none"/>
        </w:rPr>
        <w:t>测评服务项目</w:t>
      </w:r>
    </w:p>
    <w:p w14:paraId="131B2B97">
      <w:pPr>
        <w:jc w:val="center"/>
        <w:rPr>
          <w:b/>
          <w:bCs/>
          <w:sz w:val="36"/>
          <w:szCs w:val="36"/>
          <w:highlight w:val="none"/>
        </w:rPr>
      </w:pPr>
      <w:r>
        <w:rPr>
          <w:rFonts w:hint="eastAsia"/>
          <w:b/>
          <w:bCs/>
          <w:sz w:val="36"/>
          <w:szCs w:val="36"/>
          <w:highlight w:val="none"/>
        </w:rPr>
        <w:t>询价文件</w:t>
      </w:r>
    </w:p>
    <w:p w14:paraId="14640CCF">
      <w:pPr>
        <w:pStyle w:val="29"/>
        <w:numPr>
          <w:ilvl w:val="0"/>
          <w:numId w:val="2"/>
        </w:numPr>
        <w:rPr>
          <w:highlight w:val="none"/>
        </w:rPr>
      </w:pPr>
      <w:r>
        <w:rPr>
          <w:rFonts w:hint="eastAsia"/>
          <w:highlight w:val="none"/>
        </w:rPr>
        <w:t>项目概况</w:t>
      </w:r>
    </w:p>
    <w:p w14:paraId="5D4C2994">
      <w:pPr>
        <w:ind w:firstLine="480" w:firstLineChars="200"/>
        <w:rPr>
          <w:highlight w:val="none"/>
        </w:rPr>
      </w:pPr>
      <w:r>
        <w:rPr>
          <w:rFonts w:hint="eastAsia"/>
          <w:highlight w:val="none"/>
        </w:rPr>
        <w:t>1</w:t>
      </w:r>
      <w:r>
        <w:rPr>
          <w:highlight w:val="none"/>
        </w:rPr>
        <w:t xml:space="preserve">. </w:t>
      </w:r>
      <w:r>
        <w:rPr>
          <w:rFonts w:hint="eastAsia"/>
          <w:highlight w:val="none"/>
        </w:rPr>
        <w:t>项目名称：中国矿业大学徐海学院</w:t>
      </w:r>
      <w:r>
        <w:rPr>
          <w:rFonts w:hint="eastAsia"/>
          <w:highlight w:val="none"/>
          <w:lang w:eastAsia="zh-CN"/>
        </w:rPr>
        <w:t>网络安全等级保护</w:t>
      </w:r>
      <w:r>
        <w:rPr>
          <w:rFonts w:hint="eastAsia"/>
          <w:highlight w:val="none"/>
        </w:rPr>
        <w:t>测评服务。</w:t>
      </w:r>
    </w:p>
    <w:p w14:paraId="4DE3FE70">
      <w:pPr>
        <w:ind w:firstLine="480" w:firstLineChars="200"/>
        <w:rPr>
          <w:highlight w:val="none"/>
        </w:rPr>
      </w:pPr>
      <w:r>
        <w:rPr>
          <w:rFonts w:hint="eastAsia"/>
          <w:highlight w:val="none"/>
        </w:rPr>
        <w:t>2</w:t>
      </w:r>
      <w:r>
        <w:rPr>
          <w:highlight w:val="none"/>
        </w:rPr>
        <w:t xml:space="preserve">. </w:t>
      </w:r>
      <w:r>
        <w:rPr>
          <w:rFonts w:hint="eastAsia"/>
          <w:highlight w:val="none"/>
        </w:rPr>
        <w:t>项目地址：江苏省徐州市铜山区铜山街道汉沟村。</w:t>
      </w:r>
    </w:p>
    <w:p w14:paraId="3EA4E934">
      <w:pPr>
        <w:ind w:firstLine="480" w:firstLineChars="200"/>
        <w:rPr>
          <w:highlight w:val="none"/>
        </w:rPr>
      </w:pPr>
      <w:r>
        <w:rPr>
          <w:rFonts w:hint="eastAsia"/>
          <w:highlight w:val="none"/>
        </w:rPr>
        <w:t>3</w:t>
      </w:r>
      <w:r>
        <w:rPr>
          <w:highlight w:val="none"/>
        </w:rPr>
        <w:t xml:space="preserve">. </w:t>
      </w:r>
      <w:bookmarkStart w:id="4" w:name="_Hlk195214059"/>
      <w:r>
        <w:rPr>
          <w:rFonts w:hint="eastAsia"/>
          <w:highlight w:val="none"/>
        </w:rPr>
        <w:t>项目采购内容：</w:t>
      </w:r>
      <w:r>
        <w:rPr>
          <w:rFonts w:hint="eastAsia"/>
          <w:highlight w:val="none"/>
          <w:lang w:eastAsia="zh-CN"/>
        </w:rPr>
        <w:t>网络安全等级保护</w:t>
      </w:r>
      <w:r>
        <w:rPr>
          <w:rFonts w:hint="eastAsia"/>
          <w:highlight w:val="none"/>
        </w:rPr>
        <w:t>测评服务。</w:t>
      </w:r>
    </w:p>
    <w:bookmarkEnd w:id="4"/>
    <w:p w14:paraId="5793338D">
      <w:pPr>
        <w:ind w:firstLine="426" w:firstLineChars="177"/>
        <w:rPr>
          <w:b/>
          <w:bCs/>
          <w:highlight w:val="none"/>
        </w:rPr>
      </w:pPr>
      <w:r>
        <w:rPr>
          <w:rFonts w:hint="eastAsia"/>
          <w:b/>
          <w:bCs/>
          <w:highlight w:val="none"/>
        </w:rPr>
        <w:t>二、供应商资格要求</w:t>
      </w:r>
    </w:p>
    <w:p w14:paraId="452D82E3">
      <w:pPr>
        <w:ind w:firstLine="480" w:firstLineChars="200"/>
        <w:rPr>
          <w:highlight w:val="none"/>
        </w:rPr>
      </w:pPr>
      <w:r>
        <w:rPr>
          <w:rFonts w:hint="eastAsia"/>
          <w:highlight w:val="none"/>
        </w:rPr>
        <w:t>1. 在中华人民共和国境内注册，具有独立法人资格；</w:t>
      </w:r>
    </w:p>
    <w:p w14:paraId="7E03100F">
      <w:pPr>
        <w:tabs>
          <w:tab w:val="left" w:pos="993"/>
        </w:tabs>
        <w:ind w:firstLine="480" w:firstLineChars="200"/>
        <w:rPr>
          <w:highlight w:val="none"/>
        </w:rPr>
      </w:pPr>
      <w:r>
        <w:rPr>
          <w:rFonts w:hint="eastAsia"/>
          <w:highlight w:val="none"/>
        </w:rPr>
        <w:t>2．单位负责人为同一人或者存在直接控股、管理关系的不同供应商，不得参加同一合同项下的采购活动；</w:t>
      </w:r>
    </w:p>
    <w:p w14:paraId="568C083C">
      <w:pPr>
        <w:ind w:firstLine="480" w:firstLineChars="200"/>
        <w:rPr>
          <w:highlight w:val="none"/>
        </w:rPr>
      </w:pPr>
      <w:r>
        <w:rPr>
          <w:rFonts w:hint="eastAsia"/>
          <w:highlight w:val="none"/>
        </w:rPr>
        <w:t>3. 须提供供应商【含其分公司或其他分支机构（非独立法人）】的信用查询记录，供应商【含其分公司或其他分支机构（非独立法人）】被列入失信被执行人、重大税收违法案件当事人名单、严重违法失信行为记录名单的，拒绝供应商参与本项目采购活动，或提供供应商【含其分公司或其他分支机构（非独立法人）】未被列入失信被执行人、重大税收违法案件当事人名单、严重违法失信行为记录名单的承诺书。</w:t>
      </w:r>
    </w:p>
    <w:p w14:paraId="5524B824">
      <w:pPr>
        <w:ind w:firstLine="480" w:firstLineChars="200"/>
        <w:rPr>
          <w:highlight w:val="none"/>
        </w:rPr>
      </w:pPr>
      <w:r>
        <w:rPr>
          <w:rFonts w:hint="eastAsia"/>
          <w:highlight w:val="none"/>
        </w:rPr>
        <w:t>查询渠道：“信用中国”网（www.creditchina.gov.cn）。</w:t>
      </w:r>
    </w:p>
    <w:p w14:paraId="7CB92ED1">
      <w:pPr>
        <w:ind w:firstLine="480" w:firstLineChars="200"/>
        <w:rPr>
          <w:highlight w:val="none"/>
        </w:rPr>
      </w:pPr>
      <w:r>
        <w:rPr>
          <w:rFonts w:hint="eastAsia"/>
          <w:highlight w:val="none"/>
        </w:rPr>
        <w:t>4．本项目不接受联合体参加。</w:t>
      </w:r>
    </w:p>
    <w:p w14:paraId="6745FDC9">
      <w:pPr>
        <w:ind w:firstLine="482" w:firstLineChars="200"/>
        <w:rPr>
          <w:b/>
          <w:bCs/>
          <w:highlight w:val="none"/>
        </w:rPr>
      </w:pPr>
      <w:r>
        <w:rPr>
          <w:rFonts w:hint="eastAsia"/>
          <w:b/>
          <w:bCs/>
          <w:highlight w:val="none"/>
        </w:rPr>
        <w:t>三、提交响应文件要求</w:t>
      </w:r>
    </w:p>
    <w:p w14:paraId="0325FD96">
      <w:pPr>
        <w:ind w:firstLine="480" w:firstLineChars="200"/>
        <w:rPr>
          <w:highlight w:val="none"/>
        </w:rPr>
      </w:pPr>
      <w:r>
        <w:rPr>
          <w:rFonts w:hint="eastAsia"/>
          <w:highlight w:val="none"/>
        </w:rPr>
        <w:t>1. 截止提交响应文件时间：2026年9月21日9:30前（北京时间）。在截止时间后寄达的响应文件为无效文件，将被拒收（以签收时间为准）。</w:t>
      </w:r>
    </w:p>
    <w:p w14:paraId="637E16BE">
      <w:pPr>
        <w:ind w:firstLine="480" w:firstLineChars="200"/>
        <w:rPr>
          <w:highlight w:val="none"/>
        </w:rPr>
      </w:pPr>
      <w:r>
        <w:rPr>
          <w:highlight w:val="none"/>
        </w:rPr>
        <w:t xml:space="preserve">2. </w:t>
      </w:r>
      <w:r>
        <w:rPr>
          <w:rFonts w:hint="eastAsia"/>
          <w:highlight w:val="none"/>
        </w:rPr>
        <w:t>提交响应文件方式：</w:t>
      </w:r>
      <w:r>
        <w:rPr>
          <w:rFonts w:hint="eastAsia"/>
          <w:b/>
          <w:bCs/>
          <w:highlight w:val="none"/>
        </w:rPr>
        <w:t>响应文件请发送顺丰快递（不要使用同城快递，同城快递难以接收）</w:t>
      </w:r>
      <w:r>
        <w:rPr>
          <w:rFonts w:hint="eastAsia"/>
          <w:highlight w:val="none"/>
        </w:rPr>
        <w:t>。</w:t>
      </w:r>
    </w:p>
    <w:p w14:paraId="773B5A27">
      <w:pPr>
        <w:ind w:firstLine="480" w:firstLineChars="200"/>
        <w:rPr>
          <w:highlight w:val="none"/>
        </w:rPr>
      </w:pPr>
      <w:r>
        <w:rPr>
          <w:highlight w:val="none"/>
        </w:rPr>
        <w:t>3</w:t>
      </w:r>
      <w:r>
        <w:rPr>
          <w:rFonts w:hint="eastAsia"/>
          <w:highlight w:val="none"/>
        </w:rPr>
        <w:t>.</w:t>
      </w:r>
      <w:r>
        <w:rPr>
          <w:highlight w:val="none"/>
        </w:rPr>
        <w:t xml:space="preserve"> </w:t>
      </w:r>
      <w:r>
        <w:rPr>
          <w:rFonts w:hint="eastAsia"/>
          <w:highlight w:val="none"/>
        </w:rPr>
        <w:t>响应文件邮寄地点：江苏省徐州市泉山区金山东路1号中国矿业大学文昌校区主楼1</w:t>
      </w:r>
      <w:r>
        <w:rPr>
          <w:highlight w:val="none"/>
        </w:rPr>
        <w:t>03</w:t>
      </w:r>
      <w:r>
        <w:rPr>
          <w:rFonts w:hint="eastAsia"/>
          <w:highlight w:val="none"/>
        </w:rPr>
        <w:t>室。收件人：王老师，电话：1</w:t>
      </w:r>
      <w:r>
        <w:rPr>
          <w:highlight w:val="none"/>
        </w:rPr>
        <w:t>5083028667</w:t>
      </w:r>
      <w:r>
        <w:rPr>
          <w:rFonts w:hint="eastAsia"/>
          <w:highlight w:val="none"/>
        </w:rPr>
        <w:t>。</w:t>
      </w:r>
    </w:p>
    <w:p w14:paraId="3AFE86ED">
      <w:pPr>
        <w:pStyle w:val="7"/>
        <w:rPr>
          <w:highlight w:val="none"/>
        </w:rPr>
      </w:pPr>
      <w:r>
        <w:rPr>
          <w:highlight w:val="none"/>
        </w:rPr>
        <w:t>4</w:t>
      </w:r>
      <w:r>
        <w:rPr>
          <w:rFonts w:hint="eastAsia"/>
          <w:highlight w:val="none"/>
        </w:rPr>
        <w:t>. 供应商在提交响应文件截止时间前，可以对所提交的响应文件进行补充、修改或者撤回，按照本《询价文件》的规定书面通知采购人。补充、修改的内容作为响应文件的组成部分。补充、修改的内容与响应文件不一致的，以补充、修改的内容为准。</w:t>
      </w:r>
    </w:p>
    <w:p w14:paraId="518AF635">
      <w:pPr>
        <w:pStyle w:val="7"/>
        <w:rPr>
          <w:highlight w:val="none"/>
        </w:rPr>
      </w:pPr>
      <w:r>
        <w:rPr>
          <w:highlight w:val="none"/>
        </w:rPr>
        <w:t>5</w:t>
      </w:r>
      <w:r>
        <w:rPr>
          <w:rFonts w:hint="eastAsia"/>
          <w:highlight w:val="none"/>
        </w:rPr>
        <w:t xml:space="preserve"> 本次询价不接受传真、电报、电话报价，在提交响应文件截止时间前，供应商需向采购人</w:t>
      </w:r>
      <w:r>
        <w:rPr>
          <w:rFonts w:hint="eastAsia"/>
          <w:spacing w:val="-7"/>
          <w:highlight w:val="none"/>
        </w:rPr>
        <w:t>提交纸质响应文件</w:t>
      </w:r>
      <w:r>
        <w:rPr>
          <w:rFonts w:hint="eastAsia"/>
          <w:spacing w:val="-10"/>
          <w:highlight w:val="none"/>
        </w:rPr>
        <w:t>（响应文件扫描件备用）</w:t>
      </w:r>
      <w:r>
        <w:rPr>
          <w:rFonts w:hint="eastAsia"/>
          <w:spacing w:val="-7"/>
          <w:highlight w:val="none"/>
        </w:rPr>
        <w:t>，</w:t>
      </w:r>
      <w:r>
        <w:rPr>
          <w:rFonts w:hint="eastAsia"/>
          <w:b/>
          <w:bCs/>
          <w:highlight w:val="none"/>
        </w:rPr>
        <w:t>一式叁份，正本壹份，副本贰份，</w:t>
      </w:r>
      <w:r>
        <w:rPr>
          <w:rFonts w:hint="eastAsia"/>
          <w:b/>
          <w:bCs/>
          <w:spacing w:val="-7"/>
          <w:highlight w:val="none"/>
        </w:rPr>
        <w:t>需注明正</w:t>
      </w:r>
      <w:r>
        <w:rPr>
          <w:rFonts w:hint="eastAsia"/>
          <w:b/>
          <w:bCs/>
          <w:spacing w:val="-10"/>
          <w:highlight w:val="none"/>
        </w:rPr>
        <w:t xml:space="preserve">本副本字样，正副本不一样时以正本为准。 </w:t>
      </w:r>
    </w:p>
    <w:p w14:paraId="5B142D5D">
      <w:pPr>
        <w:ind w:firstLine="480" w:firstLineChars="200"/>
        <w:rPr>
          <w:highlight w:val="none"/>
        </w:rPr>
      </w:pPr>
      <w:r>
        <w:rPr>
          <w:rFonts w:hint="eastAsia"/>
          <w:highlight w:val="none"/>
        </w:rPr>
        <w:t>响应文件的正本和所有副本放入密封袋中，封袋上需注明“于2026年9月21日9:30之前不准启封”及“项目编号：</w:t>
      </w:r>
      <w:r>
        <w:rPr>
          <w:highlight w:val="none"/>
        </w:rPr>
        <w:t>XYGL-CGXJ-2026-0</w:t>
      </w:r>
      <w:r>
        <w:rPr>
          <w:rFonts w:hint="eastAsia"/>
          <w:highlight w:val="none"/>
          <w:lang w:val="en-US" w:eastAsia="zh-CN"/>
        </w:rPr>
        <w:t>7</w:t>
      </w:r>
      <w:r>
        <w:rPr>
          <w:rFonts w:hint="eastAsia"/>
          <w:highlight w:val="none"/>
        </w:rPr>
        <w:t>”的字样，并在封袋密封口处加盖供应商公章。</w:t>
      </w:r>
    </w:p>
    <w:p w14:paraId="301D2805">
      <w:pPr>
        <w:ind w:firstLine="480" w:firstLineChars="200"/>
        <w:rPr>
          <w:highlight w:val="none"/>
        </w:rPr>
      </w:pPr>
      <w:r>
        <w:rPr>
          <w:rFonts w:hint="eastAsia"/>
          <w:highlight w:val="none"/>
        </w:rPr>
        <w:t>采购人不接受不按要求邮寄、密封、未盖公章、份数不够的响应文件。在截止时间后送达的响应文件为无效文件，将被拒收。</w:t>
      </w:r>
    </w:p>
    <w:p w14:paraId="69951C7C">
      <w:pPr>
        <w:ind w:firstLine="480" w:firstLineChars="200"/>
        <w:rPr>
          <w:highlight w:val="none"/>
        </w:rPr>
      </w:pPr>
      <w:r>
        <w:rPr>
          <w:highlight w:val="none"/>
        </w:rPr>
        <w:t>6</w:t>
      </w:r>
      <w:r>
        <w:rPr>
          <w:rFonts w:hint="eastAsia"/>
          <w:highlight w:val="none"/>
        </w:rPr>
        <w:t>.</w:t>
      </w:r>
      <w:r>
        <w:rPr>
          <w:highlight w:val="none"/>
        </w:rPr>
        <w:t xml:space="preserve"> </w:t>
      </w:r>
      <w:r>
        <w:rPr>
          <w:rFonts w:hint="eastAsia"/>
          <w:highlight w:val="none"/>
        </w:rPr>
        <w:t>响应文件正、副本均不退还供应商。</w:t>
      </w:r>
    </w:p>
    <w:p w14:paraId="1872A4A1">
      <w:pPr>
        <w:ind w:firstLine="482" w:firstLineChars="200"/>
        <w:rPr>
          <w:b/>
          <w:bCs/>
          <w:highlight w:val="none"/>
        </w:rPr>
      </w:pPr>
      <w:r>
        <w:rPr>
          <w:rFonts w:hint="eastAsia"/>
          <w:b/>
          <w:bCs/>
          <w:highlight w:val="none"/>
        </w:rPr>
        <w:t>四、项目要求</w:t>
      </w:r>
    </w:p>
    <w:p w14:paraId="01227754">
      <w:pPr>
        <w:ind w:firstLine="495"/>
        <w:rPr>
          <w:highlight w:val="none"/>
        </w:rPr>
      </w:pPr>
      <w:r>
        <w:rPr>
          <w:rFonts w:hint="eastAsia"/>
          <w:highlight w:val="none"/>
        </w:rPr>
        <w:t>详见附件1。</w:t>
      </w:r>
    </w:p>
    <w:p w14:paraId="224885E5">
      <w:pPr>
        <w:ind w:firstLine="482" w:firstLineChars="200"/>
        <w:rPr>
          <w:b/>
          <w:bCs/>
          <w:highlight w:val="none"/>
        </w:rPr>
      </w:pPr>
      <w:r>
        <w:rPr>
          <w:rFonts w:hint="eastAsia"/>
          <w:b/>
          <w:bCs/>
          <w:highlight w:val="none"/>
        </w:rPr>
        <w:t>五、报价要求</w:t>
      </w:r>
      <w:r>
        <w:rPr>
          <w:rFonts w:hint="eastAsia"/>
          <w:b/>
          <w:bCs/>
          <w:highlight w:val="none"/>
        </w:rPr>
        <w:tab/>
      </w:r>
    </w:p>
    <w:p w14:paraId="53455465">
      <w:pPr>
        <w:pStyle w:val="13"/>
        <w:ind w:firstLine="480" w:firstLineChars="200"/>
        <w:rPr>
          <w:highlight w:val="none"/>
        </w:rPr>
      </w:pPr>
      <w:r>
        <w:rPr>
          <w:rFonts w:hint="eastAsia"/>
          <w:highlight w:val="none"/>
        </w:rPr>
        <w:t>1.</w:t>
      </w:r>
      <w:r>
        <w:rPr>
          <w:highlight w:val="none"/>
        </w:rPr>
        <w:t xml:space="preserve"> </w:t>
      </w:r>
      <w:r>
        <w:rPr>
          <w:rFonts w:hint="eastAsia"/>
          <w:highlight w:val="none"/>
        </w:rPr>
        <w:t>本项目最高限价为</w:t>
      </w:r>
      <w:r>
        <w:rPr>
          <w:rFonts w:hint="eastAsia"/>
          <w:highlight w:val="none"/>
          <w:lang w:val="en-US" w:eastAsia="zh-CN"/>
        </w:rPr>
        <w:t>9</w:t>
      </w:r>
      <w:r>
        <w:rPr>
          <w:rFonts w:hint="eastAsia"/>
          <w:highlight w:val="none"/>
        </w:rPr>
        <w:t>万元，供应商报价超过最高限价的，按无效响应处理。</w:t>
      </w:r>
    </w:p>
    <w:p w14:paraId="25C3807F">
      <w:pPr>
        <w:pStyle w:val="13"/>
        <w:ind w:firstLine="480" w:firstLineChars="200"/>
        <w:rPr>
          <w:highlight w:val="none"/>
        </w:rPr>
      </w:pPr>
      <w:r>
        <w:rPr>
          <w:rFonts w:hint="eastAsia"/>
          <w:highlight w:val="none"/>
        </w:rPr>
        <w:t>2.</w:t>
      </w:r>
      <w:r>
        <w:rPr>
          <w:highlight w:val="none"/>
        </w:rPr>
        <w:t xml:space="preserve"> </w:t>
      </w:r>
      <w:r>
        <w:rPr>
          <w:rFonts w:hint="eastAsia"/>
          <w:highlight w:val="none"/>
        </w:rPr>
        <w:t>供应商所报价款为完成本次采购范围内全部内容的所有费用。</w:t>
      </w:r>
    </w:p>
    <w:p w14:paraId="5825432E">
      <w:pPr>
        <w:pStyle w:val="13"/>
        <w:ind w:firstLine="480" w:firstLineChars="200"/>
        <w:rPr>
          <w:highlight w:val="none"/>
        </w:rPr>
      </w:pPr>
      <w:r>
        <w:rPr>
          <w:rFonts w:hint="eastAsia"/>
          <w:highlight w:val="none"/>
        </w:rPr>
        <w:t>3.</w:t>
      </w:r>
      <w:r>
        <w:rPr>
          <w:highlight w:val="none"/>
        </w:rPr>
        <w:t xml:space="preserve"> </w:t>
      </w:r>
      <w:r>
        <w:rPr>
          <w:rFonts w:hint="eastAsia"/>
          <w:highlight w:val="none"/>
        </w:rPr>
        <w:t>询价报价按附件</w:t>
      </w:r>
      <w:r>
        <w:rPr>
          <w:highlight w:val="none"/>
        </w:rPr>
        <w:t>3</w:t>
      </w:r>
      <w:r>
        <w:rPr>
          <w:rFonts w:hint="eastAsia"/>
          <w:highlight w:val="none"/>
        </w:rPr>
        <w:t>格式。</w:t>
      </w:r>
    </w:p>
    <w:p w14:paraId="288F1AA6">
      <w:pPr>
        <w:ind w:firstLine="482" w:firstLineChars="200"/>
        <w:rPr>
          <w:b/>
          <w:bCs/>
          <w:highlight w:val="none"/>
        </w:rPr>
      </w:pPr>
      <w:r>
        <w:rPr>
          <w:rFonts w:hint="eastAsia"/>
          <w:b/>
          <w:bCs/>
          <w:highlight w:val="none"/>
        </w:rPr>
        <w:t>六、评定成交</w:t>
      </w:r>
    </w:p>
    <w:p w14:paraId="14FE0B1A">
      <w:pPr>
        <w:pStyle w:val="13"/>
        <w:ind w:firstLine="480" w:firstLineChars="200"/>
        <w:rPr>
          <w:highlight w:val="none"/>
        </w:rPr>
      </w:pPr>
      <w:r>
        <w:rPr>
          <w:highlight w:val="none"/>
        </w:rPr>
        <w:t>1. 询价小组</w:t>
      </w:r>
    </w:p>
    <w:p w14:paraId="70FCB225">
      <w:pPr>
        <w:pStyle w:val="13"/>
        <w:ind w:firstLine="480" w:firstLineChars="200"/>
        <w:rPr>
          <w:highlight w:val="none"/>
        </w:rPr>
      </w:pPr>
      <w:r>
        <w:rPr>
          <w:highlight w:val="none"/>
        </w:rPr>
        <w:t>1）由中国矿业大学徐海学院组建的询价小组评审。其成员由有关方面专家及采购人代表等三人以上单数组成。</w:t>
      </w:r>
    </w:p>
    <w:p w14:paraId="294B1D25">
      <w:pPr>
        <w:pStyle w:val="13"/>
        <w:ind w:firstLine="480" w:firstLineChars="200"/>
        <w:rPr>
          <w:highlight w:val="none"/>
        </w:rPr>
      </w:pPr>
      <w:r>
        <w:rPr>
          <w:highlight w:val="none"/>
        </w:rPr>
        <w:t>2）询价小组负责具体询价评审事务，并独立履行下列职责：</w:t>
      </w:r>
    </w:p>
    <w:p w14:paraId="41A9D6E7">
      <w:pPr>
        <w:pStyle w:val="13"/>
        <w:ind w:firstLine="480" w:firstLineChars="200"/>
        <w:rPr>
          <w:highlight w:val="none"/>
        </w:rPr>
      </w:pPr>
      <w:r>
        <w:rPr>
          <w:rFonts w:hint="eastAsia"/>
          <w:highlight w:val="none"/>
        </w:rPr>
        <w:t>（</w:t>
      </w:r>
      <w:r>
        <w:rPr>
          <w:highlight w:val="none"/>
        </w:rPr>
        <w:t>1）对供应商进行资格性审查，确定供应商是否具备询价资格；</w:t>
      </w:r>
    </w:p>
    <w:p w14:paraId="2BA63A2E">
      <w:pPr>
        <w:pStyle w:val="13"/>
        <w:ind w:firstLine="480" w:firstLineChars="200"/>
        <w:rPr>
          <w:highlight w:val="none"/>
        </w:rPr>
      </w:pPr>
      <w:r>
        <w:rPr>
          <w:rFonts w:hint="eastAsia"/>
          <w:highlight w:val="none"/>
        </w:rPr>
        <w:t>（</w:t>
      </w:r>
      <w:r>
        <w:rPr>
          <w:highlight w:val="none"/>
        </w:rPr>
        <w:t>2）审查、评价响应文件是否符合询价文件的商务、技术等实质性要求；</w:t>
      </w:r>
    </w:p>
    <w:p w14:paraId="2312BD85">
      <w:pPr>
        <w:pStyle w:val="13"/>
        <w:ind w:firstLine="480" w:firstLineChars="200"/>
        <w:rPr>
          <w:highlight w:val="none"/>
        </w:rPr>
      </w:pPr>
      <w:r>
        <w:rPr>
          <w:rFonts w:hint="eastAsia"/>
          <w:highlight w:val="none"/>
        </w:rPr>
        <w:t>（</w:t>
      </w:r>
      <w:r>
        <w:rPr>
          <w:highlight w:val="none"/>
        </w:rPr>
        <w:t>3）要求供应商对响应文件有关事项作出澄清或者说明；</w:t>
      </w:r>
    </w:p>
    <w:p w14:paraId="20FD63BF">
      <w:pPr>
        <w:pStyle w:val="13"/>
        <w:ind w:firstLine="480" w:firstLineChars="200"/>
        <w:rPr>
          <w:highlight w:val="none"/>
        </w:rPr>
      </w:pPr>
      <w:r>
        <w:rPr>
          <w:rFonts w:hint="eastAsia"/>
          <w:highlight w:val="none"/>
        </w:rPr>
        <w:t>（</w:t>
      </w:r>
      <w:r>
        <w:rPr>
          <w:highlight w:val="none"/>
        </w:rPr>
        <w:t>4）按照评审方法及标准确定成交供应商；</w:t>
      </w:r>
    </w:p>
    <w:p w14:paraId="33E8545A">
      <w:pPr>
        <w:pStyle w:val="13"/>
        <w:ind w:firstLine="480" w:firstLineChars="200"/>
        <w:rPr>
          <w:highlight w:val="none"/>
        </w:rPr>
      </w:pPr>
      <w:r>
        <w:rPr>
          <w:rFonts w:hint="eastAsia"/>
          <w:highlight w:val="none"/>
        </w:rPr>
        <w:t>（</w:t>
      </w:r>
      <w:r>
        <w:rPr>
          <w:highlight w:val="none"/>
        </w:rPr>
        <w:t>5）向采购人报告询价评审中发现的违法行为。</w:t>
      </w:r>
    </w:p>
    <w:p w14:paraId="72F8E2D9">
      <w:pPr>
        <w:pStyle w:val="13"/>
        <w:ind w:firstLine="480" w:firstLineChars="200"/>
        <w:rPr>
          <w:highlight w:val="none"/>
        </w:rPr>
      </w:pPr>
      <w:r>
        <w:rPr>
          <w:highlight w:val="none"/>
        </w:rPr>
        <w:t>2. 评审方法及标准</w:t>
      </w:r>
    </w:p>
    <w:p w14:paraId="51239D16">
      <w:pPr>
        <w:pStyle w:val="13"/>
        <w:ind w:firstLine="480" w:firstLineChars="200"/>
        <w:rPr>
          <w:rFonts w:hAnsi="宋体"/>
          <w:highlight w:val="none"/>
        </w:rPr>
      </w:pPr>
      <w:r>
        <w:rPr>
          <w:rFonts w:hint="eastAsia"/>
          <w:highlight w:val="none"/>
        </w:rPr>
        <w:t>1）</w:t>
      </w:r>
      <w:r>
        <w:rPr>
          <w:rFonts w:hint="eastAsia" w:hAnsi="宋体"/>
          <w:highlight w:val="none"/>
        </w:rPr>
        <w:t>本次项目评审采取最低价成交，即符合采购项目要求、质量和服务相等且报价最低的原则确定成交供应商。</w:t>
      </w:r>
    </w:p>
    <w:p w14:paraId="5E4E3161">
      <w:pPr>
        <w:pStyle w:val="13"/>
        <w:ind w:firstLine="480" w:firstLineChars="200"/>
        <w:rPr>
          <w:highlight w:val="none"/>
        </w:rPr>
      </w:pPr>
      <w:r>
        <w:rPr>
          <w:highlight w:val="none"/>
        </w:rPr>
        <w:t>2）询价小组将按照询价文件中规定的评审方法和标准进行独立评审。对询价文件中描述有歧义或前后不一致的地方，询价小组有权按法律法规规定进行评判，但对同一条款的评判应适用于每个供应商。</w:t>
      </w:r>
    </w:p>
    <w:p w14:paraId="78C92EA7">
      <w:pPr>
        <w:pStyle w:val="13"/>
        <w:ind w:firstLine="480" w:firstLineChars="200"/>
        <w:rPr>
          <w:highlight w:val="none"/>
        </w:rPr>
      </w:pPr>
      <w:r>
        <w:rPr>
          <w:highlight w:val="none"/>
        </w:rPr>
        <w:t>3）询价小组决定响应文件的响应情况只根据响应文件本身真实无误的内容，而不依据其他外部的证据，但响应文件有不真实不正确的内容或询价文件另有要求时除外。</w:t>
      </w:r>
    </w:p>
    <w:p w14:paraId="590FA365">
      <w:pPr>
        <w:pStyle w:val="13"/>
        <w:ind w:firstLine="480" w:firstLineChars="200"/>
        <w:rPr>
          <w:highlight w:val="none"/>
        </w:rPr>
      </w:pPr>
      <w:r>
        <w:rPr>
          <w:highlight w:val="none"/>
        </w:rPr>
        <w:t>3. 评审步骤</w:t>
      </w:r>
    </w:p>
    <w:p w14:paraId="47FC34BB">
      <w:pPr>
        <w:pStyle w:val="13"/>
        <w:ind w:firstLine="480" w:firstLineChars="200"/>
        <w:rPr>
          <w:highlight w:val="none"/>
        </w:rPr>
      </w:pPr>
      <w:r>
        <w:rPr>
          <w:highlight w:val="none"/>
        </w:rPr>
        <w:t>1）资格性和符合性审查</w:t>
      </w:r>
    </w:p>
    <w:p w14:paraId="317FB803">
      <w:pPr>
        <w:pStyle w:val="13"/>
        <w:spacing w:line="420" w:lineRule="exact"/>
        <w:ind w:firstLine="480" w:firstLineChars="200"/>
        <w:rPr>
          <w:highlight w:val="none"/>
        </w:rPr>
      </w:pPr>
      <w:r>
        <w:rPr>
          <w:rFonts w:hint="eastAsia"/>
          <w:highlight w:val="none"/>
        </w:rPr>
        <w:t>（</w:t>
      </w:r>
      <w:r>
        <w:rPr>
          <w:highlight w:val="none"/>
        </w:rPr>
        <w:t>1）询价小组按照资格性和符合性审查要求对供应商响应文件进行资格性和符合性审查，以确定其是否满足询价文件的实质性要求。</w:t>
      </w:r>
    </w:p>
    <w:p w14:paraId="0BC308E9">
      <w:pPr>
        <w:pStyle w:val="13"/>
        <w:spacing w:line="420" w:lineRule="exact"/>
        <w:ind w:firstLine="480" w:firstLineChars="200"/>
        <w:rPr>
          <w:highlight w:val="none"/>
        </w:rPr>
      </w:pPr>
      <w:r>
        <w:rPr>
          <w:rFonts w:hint="eastAsia"/>
          <w:highlight w:val="none"/>
        </w:rPr>
        <w:t>（</w:t>
      </w:r>
      <w:r>
        <w:rPr>
          <w:highlight w:val="none"/>
        </w:rPr>
        <w:t>2）资格性和符合性审查内容详见《资格性和符合性审查表》（附件4）</w:t>
      </w:r>
      <w:r>
        <w:rPr>
          <w:rFonts w:hint="eastAsia"/>
          <w:highlight w:val="none"/>
        </w:rPr>
        <w:t>。</w:t>
      </w:r>
    </w:p>
    <w:p w14:paraId="54398080">
      <w:pPr>
        <w:pStyle w:val="13"/>
        <w:spacing w:line="420" w:lineRule="exact"/>
        <w:ind w:firstLine="480" w:firstLineChars="200"/>
        <w:rPr>
          <w:highlight w:val="none"/>
        </w:rPr>
      </w:pPr>
      <w:r>
        <w:rPr>
          <w:rFonts w:hint="eastAsia"/>
          <w:highlight w:val="none"/>
        </w:rPr>
        <w:t>（</w:t>
      </w:r>
      <w:r>
        <w:rPr>
          <w:highlight w:val="none"/>
        </w:rPr>
        <w:t>3）询价小组对各供应商进行资格性和符合性审查过程中，对被认定为资格性或符合性不合格或无效响应的，询价小组应当告知提交响应文件的供应商。</w:t>
      </w:r>
    </w:p>
    <w:p w14:paraId="3D038EA2">
      <w:pPr>
        <w:pStyle w:val="13"/>
        <w:spacing w:line="420" w:lineRule="exact"/>
        <w:ind w:firstLine="480" w:firstLineChars="200"/>
        <w:rPr>
          <w:highlight w:val="none"/>
        </w:rPr>
      </w:pPr>
      <w:r>
        <w:rPr>
          <w:rFonts w:hint="eastAsia"/>
          <w:highlight w:val="none"/>
        </w:rPr>
        <w:t>（</w:t>
      </w:r>
      <w:r>
        <w:rPr>
          <w:highlight w:val="none"/>
        </w:rPr>
        <w:t>4）资格性和符合性审查合格的有效供应商才能进入询价评审阶段。</w:t>
      </w:r>
    </w:p>
    <w:p w14:paraId="4C83B86A">
      <w:pPr>
        <w:pStyle w:val="13"/>
        <w:spacing w:line="420" w:lineRule="exact"/>
        <w:ind w:firstLine="480" w:firstLineChars="200"/>
        <w:rPr>
          <w:highlight w:val="none"/>
        </w:rPr>
      </w:pPr>
      <w:r>
        <w:rPr>
          <w:highlight w:val="none"/>
        </w:rPr>
        <w:t>2）详细评审</w:t>
      </w:r>
    </w:p>
    <w:p w14:paraId="744692FF">
      <w:pPr>
        <w:pStyle w:val="13"/>
        <w:spacing w:line="420" w:lineRule="exact"/>
        <w:ind w:firstLine="480" w:firstLineChars="200"/>
        <w:rPr>
          <w:rFonts w:hAnsi="宋体"/>
          <w:highlight w:val="none"/>
        </w:rPr>
      </w:pPr>
      <w:r>
        <w:rPr>
          <w:rFonts w:hint="eastAsia" w:hAnsi="宋体"/>
          <w:highlight w:val="none"/>
        </w:rPr>
        <w:t>询价小组按照询价文件相关要求，对供应商的响应文件相关条件是否符合采购需求、质量、和服务情况进行评审。</w:t>
      </w:r>
    </w:p>
    <w:p w14:paraId="52822E55">
      <w:pPr>
        <w:pStyle w:val="13"/>
        <w:numPr>
          <w:ilvl w:val="0"/>
          <w:numId w:val="3"/>
        </w:numPr>
        <w:spacing w:line="420" w:lineRule="exact"/>
        <w:ind w:firstLine="480" w:firstLineChars="200"/>
        <w:rPr>
          <w:rFonts w:hAnsi="宋体"/>
          <w:highlight w:val="none"/>
        </w:rPr>
      </w:pPr>
      <w:r>
        <w:rPr>
          <w:rFonts w:hAnsi="宋体"/>
          <w:highlight w:val="none"/>
        </w:rPr>
        <w:t>成交候选人的确定</w:t>
      </w:r>
    </w:p>
    <w:p w14:paraId="673849B8">
      <w:pPr>
        <w:pStyle w:val="13"/>
        <w:spacing w:line="420" w:lineRule="exact"/>
        <w:ind w:firstLine="480" w:firstLineChars="200"/>
        <w:rPr>
          <w:rFonts w:hAnsi="宋体"/>
          <w:highlight w:val="none"/>
        </w:rPr>
      </w:pPr>
      <w:r>
        <w:rPr>
          <w:rFonts w:hint="eastAsia" w:hAnsi="宋体"/>
          <w:highlight w:val="none"/>
        </w:rPr>
        <w:t>询价小组经过评审，按照符合采购需求、质量和服务相等且报价最低的原则确定成交供应商。</w:t>
      </w:r>
    </w:p>
    <w:p w14:paraId="757105B0">
      <w:pPr>
        <w:spacing w:line="420" w:lineRule="exact"/>
        <w:ind w:firstLine="482" w:firstLineChars="200"/>
        <w:rPr>
          <w:b/>
          <w:bCs/>
          <w:highlight w:val="none"/>
        </w:rPr>
      </w:pPr>
      <w:r>
        <w:rPr>
          <w:rFonts w:hint="eastAsia"/>
          <w:b/>
          <w:bCs/>
          <w:highlight w:val="none"/>
        </w:rPr>
        <w:t>七．响应文件的组成</w:t>
      </w:r>
    </w:p>
    <w:p w14:paraId="0BF415B8">
      <w:pPr>
        <w:spacing w:line="420" w:lineRule="exact"/>
        <w:ind w:firstLine="480" w:firstLineChars="200"/>
        <w:rPr>
          <w:highlight w:val="none"/>
        </w:rPr>
      </w:pPr>
      <w:r>
        <w:rPr>
          <w:rFonts w:hint="eastAsia"/>
          <w:highlight w:val="none"/>
        </w:rPr>
        <w:t>1.</w:t>
      </w:r>
      <w:r>
        <w:rPr>
          <w:highlight w:val="none"/>
        </w:rPr>
        <w:t xml:space="preserve"> </w:t>
      </w:r>
      <w:r>
        <w:rPr>
          <w:rFonts w:hint="eastAsia"/>
          <w:highlight w:val="none"/>
        </w:rPr>
        <w:t>承诺书（见附件</w:t>
      </w:r>
      <w:r>
        <w:rPr>
          <w:highlight w:val="none"/>
        </w:rPr>
        <w:t>2</w:t>
      </w:r>
      <w:r>
        <w:rPr>
          <w:rFonts w:hint="eastAsia"/>
          <w:highlight w:val="none"/>
        </w:rPr>
        <w:t>）；</w:t>
      </w:r>
    </w:p>
    <w:p w14:paraId="2DF1F329">
      <w:pPr>
        <w:spacing w:line="420" w:lineRule="exact"/>
        <w:ind w:firstLine="480" w:firstLineChars="200"/>
        <w:rPr>
          <w:highlight w:val="none"/>
        </w:rPr>
      </w:pPr>
      <w:r>
        <w:rPr>
          <w:rFonts w:hint="eastAsia"/>
          <w:highlight w:val="none"/>
        </w:rPr>
        <w:t>2.</w:t>
      </w:r>
      <w:r>
        <w:rPr>
          <w:highlight w:val="none"/>
        </w:rPr>
        <w:t xml:space="preserve"> </w:t>
      </w:r>
      <w:r>
        <w:rPr>
          <w:rFonts w:hint="eastAsia"/>
          <w:highlight w:val="none"/>
        </w:rPr>
        <w:t>询价报价表（格式详见附件</w:t>
      </w:r>
      <w:r>
        <w:rPr>
          <w:highlight w:val="none"/>
        </w:rPr>
        <w:t>3</w:t>
      </w:r>
      <w:r>
        <w:rPr>
          <w:rFonts w:hint="eastAsia"/>
          <w:highlight w:val="none"/>
        </w:rPr>
        <w:t>）；</w:t>
      </w:r>
    </w:p>
    <w:p w14:paraId="360A3207">
      <w:pPr>
        <w:pStyle w:val="13"/>
        <w:spacing w:line="420" w:lineRule="exact"/>
        <w:ind w:firstLine="480" w:firstLineChars="200"/>
        <w:rPr>
          <w:highlight w:val="none"/>
        </w:rPr>
      </w:pPr>
      <w:r>
        <w:rPr>
          <w:rFonts w:hint="eastAsia"/>
          <w:highlight w:val="none"/>
        </w:rPr>
        <w:t>3.</w:t>
      </w:r>
      <w:r>
        <w:rPr>
          <w:highlight w:val="none"/>
        </w:rPr>
        <w:t xml:space="preserve"> </w:t>
      </w:r>
      <w:r>
        <w:rPr>
          <w:rFonts w:hint="eastAsia"/>
          <w:highlight w:val="none"/>
        </w:rPr>
        <w:t>企业营业执照（复印件需加盖公章）；</w:t>
      </w:r>
    </w:p>
    <w:p w14:paraId="402E10FB">
      <w:pPr>
        <w:pStyle w:val="13"/>
        <w:spacing w:line="420" w:lineRule="exact"/>
        <w:ind w:firstLine="480" w:firstLineChars="200"/>
        <w:rPr>
          <w:highlight w:val="none"/>
        </w:rPr>
      </w:pPr>
      <w:r>
        <w:rPr>
          <w:rFonts w:hint="eastAsia"/>
          <w:highlight w:val="none"/>
        </w:rPr>
        <w:t>4．法定代表人授权委托书；</w:t>
      </w:r>
    </w:p>
    <w:p w14:paraId="424E503D">
      <w:pPr>
        <w:pStyle w:val="13"/>
        <w:spacing w:line="420" w:lineRule="exact"/>
        <w:ind w:firstLine="480" w:firstLineChars="200"/>
        <w:rPr>
          <w:highlight w:val="none"/>
        </w:rPr>
      </w:pPr>
      <w:r>
        <w:rPr>
          <w:rFonts w:hint="eastAsia"/>
          <w:highlight w:val="none"/>
        </w:rPr>
        <w:t>5．法定代表人身份证明（复印件加盖公章）；</w:t>
      </w:r>
    </w:p>
    <w:p w14:paraId="516912F2">
      <w:pPr>
        <w:pStyle w:val="13"/>
        <w:spacing w:line="420" w:lineRule="exact"/>
        <w:ind w:firstLine="480" w:firstLineChars="200"/>
        <w:rPr>
          <w:highlight w:val="none"/>
        </w:rPr>
      </w:pPr>
      <w:r>
        <w:rPr>
          <w:rFonts w:hint="eastAsia"/>
          <w:highlight w:val="none"/>
        </w:rPr>
        <w:t>6．授权委托人身份证明（复印件加盖公章）；</w:t>
      </w:r>
    </w:p>
    <w:p w14:paraId="47089F23">
      <w:pPr>
        <w:pStyle w:val="13"/>
        <w:spacing w:line="420" w:lineRule="exact"/>
        <w:ind w:firstLine="480" w:firstLineChars="200"/>
        <w:rPr>
          <w:highlight w:val="none"/>
        </w:rPr>
      </w:pPr>
      <w:r>
        <w:rPr>
          <w:rFonts w:hint="eastAsia"/>
          <w:highlight w:val="none"/>
        </w:rPr>
        <w:t>7</w:t>
      </w:r>
      <w:r>
        <w:rPr>
          <w:highlight w:val="none"/>
        </w:rPr>
        <w:t>.</w:t>
      </w:r>
      <w:r>
        <w:rPr>
          <w:rFonts w:hint="eastAsia"/>
          <w:highlight w:val="none"/>
        </w:rPr>
        <w:t xml:space="preserve"> 偏离表（附件</w:t>
      </w:r>
      <w:r>
        <w:rPr>
          <w:highlight w:val="none"/>
        </w:rPr>
        <w:t>5</w:t>
      </w:r>
      <w:r>
        <w:rPr>
          <w:rFonts w:hint="eastAsia"/>
          <w:highlight w:val="none"/>
        </w:rPr>
        <w:t>）；</w:t>
      </w:r>
    </w:p>
    <w:p w14:paraId="30CDD7A9">
      <w:pPr>
        <w:pStyle w:val="13"/>
        <w:spacing w:line="420" w:lineRule="exact"/>
        <w:ind w:firstLine="480" w:firstLineChars="200"/>
        <w:rPr>
          <w:highlight w:val="none"/>
        </w:rPr>
      </w:pPr>
      <w:r>
        <w:rPr>
          <w:rFonts w:hint="eastAsia"/>
          <w:highlight w:val="none"/>
        </w:rPr>
        <w:t>8．响应文件要求提供的其他材料。</w:t>
      </w:r>
    </w:p>
    <w:p w14:paraId="63D72EFB">
      <w:pPr>
        <w:spacing w:line="420" w:lineRule="exact"/>
        <w:ind w:firstLine="482" w:firstLineChars="200"/>
        <w:rPr>
          <w:b/>
          <w:bCs/>
          <w:highlight w:val="none"/>
        </w:rPr>
      </w:pPr>
      <w:r>
        <w:rPr>
          <w:rFonts w:hint="eastAsia"/>
          <w:b/>
          <w:bCs/>
          <w:highlight w:val="none"/>
        </w:rPr>
        <w:t>八、合同主要条款</w:t>
      </w:r>
    </w:p>
    <w:p w14:paraId="5132430D">
      <w:pPr>
        <w:spacing w:line="420" w:lineRule="exact"/>
        <w:ind w:firstLine="480" w:firstLineChars="200"/>
        <w:rPr>
          <w:highlight w:val="none"/>
        </w:rPr>
      </w:pPr>
      <w:r>
        <w:rPr>
          <w:rFonts w:hint="eastAsia"/>
          <w:highlight w:val="none"/>
        </w:rPr>
        <w:t>1. 本项目报价包含人工服务费、技术测试、资料编制、报告出具、盖章交付、人员差旅、工具使用、内部评审、各种规费及税金等一切税费在内，采购人不再支付任何其它费用。</w:t>
      </w:r>
      <w:bookmarkStart w:id="32" w:name="_GoBack"/>
      <w:bookmarkEnd w:id="32"/>
    </w:p>
    <w:p w14:paraId="10432AD5">
      <w:pPr>
        <w:spacing w:line="420" w:lineRule="exact"/>
        <w:ind w:firstLine="480" w:firstLineChars="200"/>
        <w:rPr>
          <w:highlight w:val="none"/>
        </w:rPr>
      </w:pPr>
      <w:r>
        <w:rPr>
          <w:rFonts w:hint="eastAsia"/>
          <w:highlight w:val="none"/>
        </w:rPr>
        <w:t xml:space="preserve">2. </w:t>
      </w:r>
      <w:r>
        <w:rPr>
          <w:rFonts w:hint="eastAsia"/>
          <w:highlight w:val="none"/>
          <w:lang w:val="en-US" w:eastAsia="zh-CN"/>
        </w:rPr>
        <w:t>服务期：1年</w:t>
      </w:r>
      <w:r>
        <w:rPr>
          <w:rFonts w:hint="eastAsia"/>
          <w:highlight w:val="none"/>
        </w:rPr>
        <w:t>。</w:t>
      </w:r>
    </w:p>
    <w:p w14:paraId="7BCEF070">
      <w:pPr>
        <w:ind w:firstLine="480" w:firstLineChars="200"/>
        <w:rPr>
          <w:highlight w:val="none"/>
        </w:rPr>
      </w:pPr>
      <w:r>
        <w:rPr>
          <w:rFonts w:hint="eastAsia"/>
          <w:highlight w:val="none"/>
        </w:rPr>
        <w:t>3.</w:t>
      </w:r>
      <w:r>
        <w:rPr>
          <w:highlight w:val="none"/>
        </w:rPr>
        <w:t xml:space="preserve"> </w:t>
      </w:r>
      <w:r>
        <w:rPr>
          <w:rFonts w:hint="eastAsia"/>
          <w:highlight w:val="none"/>
        </w:rPr>
        <w:t>付款方式</w:t>
      </w:r>
    </w:p>
    <w:p w14:paraId="1BAD3EED">
      <w:pPr>
        <w:spacing w:line="420" w:lineRule="exact"/>
        <w:ind w:firstLine="480" w:firstLineChars="200"/>
        <w:rPr>
          <w:rFonts w:hint="eastAsia" w:eastAsia="宋体"/>
          <w:highlight w:val="none"/>
          <w:lang w:eastAsia="zh-CN"/>
        </w:rPr>
      </w:pPr>
      <w:r>
        <w:rPr>
          <w:rFonts w:hint="eastAsia"/>
          <w:highlight w:val="none"/>
        </w:rPr>
        <w:t>本项目无预付款。</w:t>
      </w:r>
      <w:r>
        <w:rPr>
          <w:rFonts w:hint="eastAsia"/>
          <w:highlight w:val="none"/>
          <w:lang w:val="en-US" w:eastAsia="zh-CN"/>
        </w:rPr>
        <w:t>供应商</w:t>
      </w:r>
      <w:r>
        <w:rPr>
          <w:rFonts w:hint="eastAsia"/>
          <w:highlight w:val="none"/>
        </w:rPr>
        <w:t>完成现场测评并提交正式盖章测评报告，经</w:t>
      </w:r>
      <w:r>
        <w:rPr>
          <w:rFonts w:hint="eastAsia"/>
          <w:highlight w:val="none"/>
          <w:lang w:val="en-US" w:eastAsia="zh-CN"/>
        </w:rPr>
        <w:t>采购人</w:t>
      </w:r>
      <w:r>
        <w:rPr>
          <w:rFonts w:hint="eastAsia"/>
          <w:highlight w:val="none"/>
        </w:rPr>
        <w:t>验收合格</w:t>
      </w:r>
      <w:r>
        <w:rPr>
          <w:rFonts w:hint="eastAsia"/>
          <w:highlight w:val="none"/>
          <w:lang w:val="en-US" w:eastAsia="zh-CN"/>
        </w:rPr>
        <w:t>后</w:t>
      </w:r>
      <w:r>
        <w:rPr>
          <w:rFonts w:hint="eastAsia"/>
          <w:highlight w:val="none"/>
        </w:rPr>
        <w:t>，</w:t>
      </w:r>
      <w:r>
        <w:rPr>
          <w:rFonts w:hint="eastAsia"/>
          <w:highlight w:val="none"/>
          <w:lang w:val="en-US" w:eastAsia="zh-CN"/>
        </w:rPr>
        <w:t>供应商</w:t>
      </w:r>
      <w:r>
        <w:rPr>
          <w:rFonts w:hint="eastAsia"/>
          <w:highlight w:val="none"/>
        </w:rPr>
        <w:t>开具对应发票后支付合同</w:t>
      </w:r>
      <w:r>
        <w:rPr>
          <w:rFonts w:hint="eastAsia"/>
          <w:highlight w:val="none"/>
          <w:lang w:val="en-US" w:eastAsia="zh-CN"/>
        </w:rPr>
        <w:t>全部</w:t>
      </w:r>
      <w:r>
        <w:rPr>
          <w:rFonts w:hint="eastAsia"/>
          <w:highlight w:val="none"/>
        </w:rPr>
        <w:t>价款</w:t>
      </w:r>
      <w:r>
        <w:rPr>
          <w:rFonts w:hint="eastAsia"/>
          <w:highlight w:val="none"/>
          <w:lang w:eastAsia="zh-CN"/>
        </w:rPr>
        <w:t>。</w:t>
      </w:r>
    </w:p>
    <w:p w14:paraId="276AA1CC">
      <w:pPr>
        <w:spacing w:line="420" w:lineRule="exact"/>
        <w:ind w:firstLine="480" w:firstLineChars="200"/>
        <w:rPr>
          <w:highlight w:val="none"/>
        </w:rPr>
      </w:pPr>
      <w:r>
        <w:rPr>
          <w:rFonts w:hint="eastAsia"/>
          <w:highlight w:val="none"/>
        </w:rPr>
        <w:t xml:space="preserve"> </w:t>
      </w:r>
    </w:p>
    <w:p w14:paraId="40CDCF2C">
      <w:pPr>
        <w:ind w:firstLine="5760" w:firstLineChars="2400"/>
        <w:rPr>
          <w:highlight w:val="none"/>
        </w:rPr>
      </w:pPr>
      <w:r>
        <w:rPr>
          <w:rFonts w:hint="eastAsia"/>
          <w:highlight w:val="none"/>
        </w:rPr>
        <w:t>中国矿业大学徐海学院</w:t>
      </w:r>
    </w:p>
    <w:p w14:paraId="3291B070">
      <w:pPr>
        <w:ind w:firstLine="6480" w:firstLineChars="2700"/>
        <w:rPr>
          <w:highlight w:val="none"/>
        </w:rPr>
      </w:pPr>
      <w:r>
        <w:rPr>
          <w:highlight w:val="none"/>
        </w:rPr>
        <w:t>202</w:t>
      </w:r>
      <w:r>
        <w:rPr>
          <w:rFonts w:hint="eastAsia"/>
          <w:highlight w:val="none"/>
        </w:rPr>
        <w:t>6</w:t>
      </w:r>
      <w:r>
        <w:rPr>
          <w:highlight w:val="none"/>
        </w:rPr>
        <w:t>年</w:t>
      </w:r>
      <w:r>
        <w:rPr>
          <w:rFonts w:hint="eastAsia"/>
          <w:highlight w:val="none"/>
        </w:rPr>
        <w:t>9</w:t>
      </w:r>
      <w:r>
        <w:rPr>
          <w:highlight w:val="none"/>
        </w:rPr>
        <w:t>月</w:t>
      </w:r>
      <w:r>
        <w:rPr>
          <w:rFonts w:hint="eastAsia"/>
          <w:highlight w:val="none"/>
        </w:rPr>
        <w:t>1</w:t>
      </w:r>
      <w:r>
        <w:rPr>
          <w:rFonts w:hint="eastAsia"/>
          <w:highlight w:val="none"/>
          <w:lang w:val="en-US" w:eastAsia="zh-CN"/>
        </w:rPr>
        <w:t>5</w:t>
      </w:r>
      <w:r>
        <w:rPr>
          <w:highlight w:val="none"/>
        </w:rPr>
        <w:t>日</w:t>
      </w:r>
      <w:bookmarkEnd w:id="2"/>
    </w:p>
    <w:p w14:paraId="2B52F3E6">
      <w:pPr>
        <w:ind w:firstLine="6480" w:firstLineChars="2700"/>
        <w:rPr>
          <w:highlight w:val="none"/>
        </w:rPr>
      </w:pPr>
    </w:p>
    <w:p w14:paraId="40FB1DAA">
      <w:pPr>
        <w:rPr>
          <w:rFonts w:hint="eastAsia" w:ascii="宋体" w:hAnsi="宋体" w:eastAsia="宋体" w:cs="宋体"/>
          <w:highlight w:val="none"/>
          <w:lang w:val="en-US" w:eastAsia="zh-CN"/>
        </w:rPr>
      </w:pPr>
      <w:r>
        <w:rPr>
          <w:rFonts w:hint="eastAsia" w:ascii="宋体" w:hAnsi="宋体" w:eastAsia="宋体" w:cs="宋体"/>
          <w:highlight w:val="none"/>
          <w:lang w:val="en-US" w:eastAsia="zh-CN"/>
        </w:rPr>
        <w:t>附件1：项目需求</w:t>
      </w:r>
    </w:p>
    <w:p w14:paraId="08898BBF">
      <w:pPr>
        <w:spacing w:line="360" w:lineRule="auto"/>
        <w:ind w:firstLine="48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一、项目概况</w:t>
      </w:r>
    </w:p>
    <w:p w14:paraId="17FC19C8">
      <w:pPr>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按照国家网络安全等级保护的相关政策文件要求，重要行业及部门均需按照要求落实国务院147号令《中华人民共和国计算机信息系统安全保护条例》规定“计算机信息系统实行安全等级保护”、公安部《信息安全等级保护管理办法》（公通字〔2007〕43号）、《公安部关于印送〈贯彻落实网络安全等级保护制度和关键信息基础设施安全保护制度的指导意见〉的函》（公网安〔2020〕1960号）等文件的要求。为了提升</w:t>
      </w:r>
      <w:r>
        <w:rPr>
          <w:rFonts w:hint="eastAsia" w:ascii="宋体" w:hAnsi="宋体" w:eastAsia="宋体" w:cs="宋体"/>
          <w:sz w:val="24"/>
          <w:szCs w:val="24"/>
          <w:highlight w:val="none"/>
          <w:lang w:eastAsia="zh-CN"/>
        </w:rPr>
        <w:t>‌中国矿业大学徐海学院‌</w:t>
      </w:r>
      <w:r>
        <w:rPr>
          <w:rFonts w:hint="eastAsia" w:ascii="宋体" w:hAnsi="宋体" w:eastAsia="宋体" w:cs="宋体"/>
          <w:sz w:val="24"/>
          <w:szCs w:val="24"/>
          <w:highlight w:val="none"/>
        </w:rPr>
        <w:t>重要信息系统安全保障能力及安全服务能力，满足用户对安全性的要求，特开展此项目</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 xml:space="preserve"> 项目包含</w:t>
      </w:r>
      <w:r>
        <w:rPr>
          <w:rFonts w:hint="eastAsia" w:ascii="宋体" w:hAnsi="宋体" w:eastAsia="宋体" w:cs="宋体"/>
          <w:sz w:val="24"/>
          <w:szCs w:val="24"/>
          <w:highlight w:val="none"/>
          <w:lang w:val="en-US" w:eastAsia="zh-CN"/>
        </w:rPr>
        <w:t>教务系统、一卡通平台、智慧校园基础平台等3</w:t>
      </w:r>
      <w:r>
        <w:rPr>
          <w:rFonts w:hint="eastAsia" w:ascii="宋体" w:hAnsi="宋体" w:eastAsia="宋体" w:cs="宋体"/>
          <w:sz w:val="24"/>
          <w:szCs w:val="24"/>
          <w:highlight w:val="none"/>
        </w:rPr>
        <w:t>个系统的网络安全等级保护评测</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全面保障校园网络的安全稳定运行并满足国家合规监管要求。</w:t>
      </w:r>
    </w:p>
    <w:p w14:paraId="20BC3FC9">
      <w:pPr>
        <w:spacing w:line="360" w:lineRule="auto"/>
        <w:ind w:firstLine="48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二、服务要求</w:t>
      </w:r>
    </w:p>
    <w:p w14:paraId="2469AADB">
      <w:pPr>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（一）网络安全等级保护测评服务要求</w:t>
      </w:r>
    </w:p>
    <w:p w14:paraId="65809C3C">
      <w:pPr>
        <w:keepNext w:val="0"/>
        <w:keepLines w:val="0"/>
        <w:widowControl/>
        <w:suppressLineNumbers w:val="0"/>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rPr>
        <w:tab/>
      </w:r>
      <w:r>
        <w:rPr>
          <w:rFonts w:hint="eastAsia" w:ascii="宋体" w:hAnsi="宋体" w:eastAsia="宋体" w:cs="宋体"/>
          <w:sz w:val="24"/>
          <w:szCs w:val="24"/>
          <w:highlight w:val="none"/>
        </w:rPr>
        <w:t>提供学校重要系统的网络安全</w:t>
      </w:r>
      <w:r>
        <w:rPr>
          <w:rFonts w:hint="eastAsia" w:ascii="宋体" w:hAnsi="宋体" w:eastAsia="宋体" w:cs="宋体"/>
          <w:sz w:val="24"/>
          <w:szCs w:val="24"/>
          <w:highlight w:val="none"/>
          <w:lang w:val="en-US" w:eastAsia="zh-CN"/>
        </w:rPr>
        <w:t>二</w:t>
      </w:r>
      <w:r>
        <w:rPr>
          <w:rFonts w:hint="eastAsia" w:ascii="宋体" w:hAnsi="宋体" w:eastAsia="宋体" w:cs="宋体"/>
          <w:sz w:val="24"/>
          <w:szCs w:val="24"/>
          <w:highlight w:val="none"/>
        </w:rPr>
        <w:t>级等级保护测评服务，服务范围涵盖</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lang w:val="en-US" w:eastAsia="zh-CN"/>
        </w:rPr>
        <w:fldChar w:fldCharType="begin"/>
      </w:r>
      <w:r>
        <w:rPr>
          <w:rFonts w:hint="eastAsia" w:ascii="宋体" w:hAnsi="宋体" w:eastAsia="宋体" w:cs="宋体"/>
          <w:sz w:val="24"/>
          <w:szCs w:val="24"/>
          <w:highlight w:val="none"/>
          <w:lang w:val="en-US" w:eastAsia="zh-CN"/>
        </w:rPr>
        <w:instrText xml:space="preserve"> HYPERLINK "https://www.baidu.com/s?wd=%E4%B8%AD%E5%9B%BD%E7%9F%BF%E4%B8%9A%E5%A4%A7%E5%AD%A6%E5%BE%90%E6%B5%B7%E5%AD%A6%E9%99%A2&amp;usm=5&amp;tn=baiduhome_pg&amp;rsv_idx=2&amp;ie=utf-8&amp;rsv_pq=fd5efc0f000349b1&amp;oq=%E5%BE%90%E5%B7%9E%E7%9F%BF%E5%A4%A7%E5%BE%90%E6%B5%B7%E5%AD%A6%E9%99%A2&amp;rsv_t=987e6CZ2IYTSasP0+d8kJuun/8pQouLH0RThrFCLnRS/4NmXFQB/Fmh/vLAJbxZBctb2&amp;rsv_dl=re_dqa_generate&amp;sa=re_dqa_generate" \t "/Users/wangyifu/Documents\\x/_blank" </w:instrText>
      </w:r>
      <w:r>
        <w:rPr>
          <w:rFonts w:hint="eastAsia" w:ascii="宋体" w:hAnsi="宋体" w:eastAsia="宋体" w:cs="宋体"/>
          <w:sz w:val="24"/>
          <w:szCs w:val="24"/>
          <w:highlight w:val="none"/>
          <w:lang w:val="en-US" w:eastAsia="zh-CN"/>
        </w:rPr>
        <w:fldChar w:fldCharType="separate"/>
      </w:r>
      <w:r>
        <w:rPr>
          <w:rFonts w:hint="eastAsia" w:ascii="宋体" w:hAnsi="宋体" w:eastAsia="宋体" w:cs="宋体"/>
          <w:sz w:val="24"/>
          <w:szCs w:val="24"/>
          <w:highlight w:val="none"/>
        </w:rPr>
        <w:t>中国矿业大学徐海学院</w:t>
      </w:r>
      <w:r>
        <w:rPr>
          <w:rFonts w:hint="eastAsia" w:ascii="宋体" w:hAnsi="宋体" w:eastAsia="宋体" w:cs="宋体"/>
          <w:sz w:val="24"/>
          <w:szCs w:val="24"/>
          <w:highlight w:val="none"/>
          <w:lang w:val="en-US" w:eastAsia="zh-CN"/>
        </w:rPr>
        <w:fldChar w:fldCharType="end"/>
      </w:r>
      <w:r>
        <w:rPr>
          <w:rFonts w:hint="eastAsia" w:ascii="宋体" w:hAnsi="宋体" w:eastAsia="宋体" w:cs="宋体"/>
          <w:sz w:val="24"/>
          <w:szCs w:val="24"/>
          <w:highlight w:val="none"/>
          <w:lang w:val="en-US" w:eastAsia="zh-CN"/>
        </w:rPr>
        <w:t>教务系统、一卡通系统、智慧校园基础平台等3</w:t>
      </w:r>
      <w:r>
        <w:rPr>
          <w:rFonts w:hint="eastAsia" w:ascii="宋体" w:hAnsi="宋体" w:eastAsia="宋体" w:cs="宋体"/>
          <w:sz w:val="24"/>
          <w:szCs w:val="24"/>
          <w:highlight w:val="none"/>
        </w:rPr>
        <w:t>个系统</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8"/>
        <w:gridCol w:w="3408"/>
        <w:gridCol w:w="2269"/>
        <w:gridCol w:w="1555"/>
      </w:tblGrid>
      <w:tr w14:paraId="3B0EC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8" w:type="dxa"/>
            <w:shd w:val="clear" w:color="auto" w:fill="auto"/>
            <w:noWrap w:val="0"/>
            <w:vAlign w:val="center"/>
          </w:tcPr>
          <w:p w14:paraId="11AA8835">
            <w:pPr>
              <w:pStyle w:val="51"/>
              <w:widowControl/>
              <w:spacing w:line="420" w:lineRule="exact"/>
              <w:ind w:firstLine="241" w:firstLineChars="100"/>
              <w:jc w:val="both"/>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序号</w:t>
            </w:r>
          </w:p>
        </w:tc>
        <w:tc>
          <w:tcPr>
            <w:tcW w:w="3408" w:type="dxa"/>
            <w:shd w:val="clear" w:color="auto" w:fill="auto"/>
            <w:noWrap w:val="0"/>
            <w:vAlign w:val="center"/>
          </w:tcPr>
          <w:p w14:paraId="3D0D7509">
            <w:pPr>
              <w:pStyle w:val="51"/>
              <w:widowControl/>
              <w:spacing w:line="420" w:lineRule="exact"/>
              <w:ind w:firstLine="482" w:firstLineChars="0"/>
              <w:jc w:val="center"/>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系统名称</w:t>
            </w:r>
          </w:p>
        </w:tc>
        <w:tc>
          <w:tcPr>
            <w:tcW w:w="2269" w:type="dxa"/>
            <w:shd w:val="clear" w:color="auto" w:fill="auto"/>
            <w:noWrap w:val="0"/>
            <w:vAlign w:val="center"/>
          </w:tcPr>
          <w:p w14:paraId="390AA26F">
            <w:pPr>
              <w:pStyle w:val="51"/>
              <w:widowControl/>
              <w:spacing w:line="420" w:lineRule="exact"/>
              <w:ind w:firstLine="482" w:firstLineChars="0"/>
              <w:jc w:val="center"/>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安全保护等级</w:t>
            </w:r>
          </w:p>
        </w:tc>
        <w:tc>
          <w:tcPr>
            <w:tcW w:w="1555" w:type="dxa"/>
            <w:shd w:val="clear" w:color="auto" w:fill="auto"/>
            <w:noWrap w:val="0"/>
            <w:vAlign w:val="center"/>
          </w:tcPr>
          <w:p w14:paraId="3431FD59">
            <w:pPr>
              <w:pStyle w:val="51"/>
              <w:widowControl/>
              <w:spacing w:line="420" w:lineRule="exact"/>
              <w:jc w:val="center"/>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服务年限</w:t>
            </w:r>
          </w:p>
        </w:tc>
      </w:tr>
      <w:tr w14:paraId="4D910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88" w:type="dxa"/>
            <w:noWrap w:val="0"/>
            <w:vAlign w:val="center"/>
          </w:tcPr>
          <w:p w14:paraId="39A67BF9">
            <w:pPr>
              <w:pStyle w:val="51"/>
              <w:widowControl/>
              <w:spacing w:line="420" w:lineRule="exact"/>
              <w:ind w:firstLine="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w:t>
            </w:r>
          </w:p>
        </w:tc>
        <w:tc>
          <w:tcPr>
            <w:tcW w:w="3408" w:type="dxa"/>
            <w:noWrap w:val="0"/>
            <w:vAlign w:val="center"/>
          </w:tcPr>
          <w:p w14:paraId="0D7589B5">
            <w:pPr>
              <w:pStyle w:val="51"/>
              <w:widowControl/>
              <w:spacing w:line="420" w:lineRule="exact"/>
              <w:ind w:firstLine="48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en-US" w:eastAsia="zh-CN"/>
              </w:rPr>
              <w:t>教务系统</w:t>
            </w:r>
          </w:p>
        </w:tc>
        <w:tc>
          <w:tcPr>
            <w:tcW w:w="2269" w:type="dxa"/>
            <w:noWrap w:val="0"/>
            <w:vAlign w:val="center"/>
          </w:tcPr>
          <w:p w14:paraId="294BFA5A">
            <w:pPr>
              <w:pStyle w:val="51"/>
              <w:widowControl/>
              <w:spacing w:line="420" w:lineRule="exact"/>
              <w:ind w:firstLine="48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二级</w:t>
            </w:r>
          </w:p>
        </w:tc>
        <w:tc>
          <w:tcPr>
            <w:tcW w:w="1555" w:type="dxa"/>
            <w:vMerge w:val="restart"/>
            <w:noWrap w:val="0"/>
            <w:vAlign w:val="center"/>
          </w:tcPr>
          <w:p w14:paraId="3A148BE8">
            <w:pPr>
              <w:pStyle w:val="51"/>
              <w:widowControl/>
              <w:spacing w:line="420" w:lineRule="exact"/>
              <w:ind w:firstLine="48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1年</w:t>
            </w:r>
          </w:p>
        </w:tc>
      </w:tr>
      <w:tr w14:paraId="5F4F9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8" w:type="dxa"/>
            <w:noWrap w:val="0"/>
            <w:vAlign w:val="center"/>
          </w:tcPr>
          <w:p w14:paraId="5AB58654">
            <w:pPr>
              <w:pStyle w:val="51"/>
              <w:widowControl/>
              <w:spacing w:line="420" w:lineRule="exact"/>
              <w:ind w:firstLine="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w:t>
            </w:r>
          </w:p>
        </w:tc>
        <w:tc>
          <w:tcPr>
            <w:tcW w:w="3408" w:type="dxa"/>
            <w:noWrap w:val="0"/>
            <w:vAlign w:val="center"/>
          </w:tcPr>
          <w:p w14:paraId="221D47EB">
            <w:pPr>
              <w:pStyle w:val="51"/>
              <w:widowControl/>
              <w:spacing w:line="420" w:lineRule="exact"/>
              <w:ind w:firstLine="48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en-US" w:eastAsia="zh-CN"/>
              </w:rPr>
              <w:t>一卡通平台</w:t>
            </w:r>
          </w:p>
        </w:tc>
        <w:tc>
          <w:tcPr>
            <w:tcW w:w="2269" w:type="dxa"/>
            <w:noWrap w:val="0"/>
            <w:vAlign w:val="center"/>
          </w:tcPr>
          <w:p w14:paraId="2DD829D6">
            <w:pPr>
              <w:pStyle w:val="51"/>
              <w:widowControl/>
              <w:spacing w:line="420" w:lineRule="exact"/>
              <w:ind w:firstLine="48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二级</w:t>
            </w:r>
          </w:p>
        </w:tc>
        <w:tc>
          <w:tcPr>
            <w:tcW w:w="1555" w:type="dxa"/>
            <w:vMerge w:val="continue"/>
            <w:noWrap w:val="0"/>
            <w:vAlign w:val="center"/>
          </w:tcPr>
          <w:p w14:paraId="54635080">
            <w:pPr>
              <w:pStyle w:val="51"/>
              <w:widowControl/>
              <w:spacing w:line="420" w:lineRule="exact"/>
              <w:ind w:firstLine="480"/>
              <w:jc w:val="center"/>
              <w:rPr>
                <w:rFonts w:hint="eastAsia" w:ascii="宋体" w:hAnsi="宋体" w:eastAsia="宋体" w:cs="宋体"/>
                <w:kern w:val="2"/>
                <w:sz w:val="24"/>
                <w:szCs w:val="24"/>
                <w:highlight w:val="none"/>
                <w:lang w:val="en-US" w:eastAsia="zh-CN" w:bidi="ar-SA"/>
              </w:rPr>
            </w:pPr>
          </w:p>
        </w:tc>
      </w:tr>
      <w:tr w14:paraId="45ADB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8" w:type="dxa"/>
            <w:noWrap w:val="0"/>
            <w:vAlign w:val="center"/>
          </w:tcPr>
          <w:p w14:paraId="1401373A">
            <w:pPr>
              <w:pStyle w:val="51"/>
              <w:widowControl/>
              <w:spacing w:line="420" w:lineRule="exact"/>
              <w:ind w:firstLine="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w:t>
            </w:r>
          </w:p>
        </w:tc>
        <w:tc>
          <w:tcPr>
            <w:tcW w:w="3408" w:type="dxa"/>
            <w:noWrap w:val="0"/>
            <w:vAlign w:val="center"/>
          </w:tcPr>
          <w:p w14:paraId="25D80760">
            <w:pPr>
              <w:pStyle w:val="51"/>
              <w:widowControl/>
              <w:spacing w:line="420" w:lineRule="exact"/>
              <w:ind w:firstLine="48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en-US" w:eastAsia="zh-CN"/>
              </w:rPr>
              <w:t>智慧校园基础平台</w:t>
            </w:r>
          </w:p>
        </w:tc>
        <w:tc>
          <w:tcPr>
            <w:tcW w:w="2269" w:type="dxa"/>
            <w:noWrap w:val="0"/>
            <w:vAlign w:val="center"/>
          </w:tcPr>
          <w:p w14:paraId="3C828AB5">
            <w:pPr>
              <w:pStyle w:val="51"/>
              <w:widowControl/>
              <w:spacing w:line="420" w:lineRule="exact"/>
              <w:ind w:firstLine="48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二级</w:t>
            </w:r>
          </w:p>
        </w:tc>
        <w:tc>
          <w:tcPr>
            <w:tcW w:w="1555" w:type="dxa"/>
            <w:vMerge w:val="continue"/>
            <w:noWrap w:val="0"/>
            <w:vAlign w:val="center"/>
          </w:tcPr>
          <w:p w14:paraId="32BF14EB">
            <w:pPr>
              <w:pStyle w:val="51"/>
              <w:widowControl/>
              <w:spacing w:line="420" w:lineRule="exact"/>
              <w:ind w:firstLine="480"/>
              <w:jc w:val="center"/>
              <w:rPr>
                <w:rFonts w:hint="eastAsia" w:ascii="宋体" w:hAnsi="宋体" w:eastAsia="宋体" w:cs="宋体"/>
                <w:kern w:val="2"/>
                <w:sz w:val="24"/>
                <w:szCs w:val="24"/>
                <w:highlight w:val="none"/>
                <w:lang w:val="en-US" w:eastAsia="zh-CN" w:bidi="ar-SA"/>
              </w:rPr>
            </w:pPr>
          </w:p>
        </w:tc>
      </w:tr>
    </w:tbl>
    <w:p w14:paraId="452EDB38">
      <w:pPr>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rPr>
        <w:tab/>
      </w:r>
      <w:r>
        <w:rPr>
          <w:rFonts w:hint="eastAsia" w:ascii="宋体" w:hAnsi="宋体" w:eastAsia="宋体" w:cs="宋体"/>
          <w:sz w:val="24"/>
          <w:szCs w:val="24"/>
          <w:highlight w:val="none"/>
        </w:rPr>
        <w:t>提供信息安全等级保护技术方面的测评和管理方面的测评，根据测评过程中发现的问题，提供差距分析报告和整改建议，整改完成后对已整改的项目进行测评验证，测评通过后出具网络安全等级保护测评报告。</w:t>
      </w:r>
    </w:p>
    <w:p w14:paraId="2761A99A">
      <w:pPr>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w:t>
      </w:r>
      <w:r>
        <w:rPr>
          <w:rFonts w:hint="eastAsia" w:ascii="宋体" w:hAnsi="宋体" w:eastAsia="宋体" w:cs="宋体"/>
          <w:sz w:val="24"/>
          <w:szCs w:val="24"/>
          <w:highlight w:val="none"/>
        </w:rPr>
        <w:tab/>
      </w:r>
      <w:r>
        <w:rPr>
          <w:rFonts w:hint="eastAsia" w:ascii="宋体" w:hAnsi="宋体" w:eastAsia="宋体" w:cs="宋体"/>
          <w:sz w:val="24"/>
          <w:szCs w:val="24"/>
          <w:highlight w:val="none"/>
        </w:rPr>
        <w:t>根据《关于进一步做好网络安全等级保护有关工作的函》（公网安[2025]1001号）要求，提供备案更新、数据资源摸底调查、保护工作方案编制等服务支持。</w:t>
      </w:r>
    </w:p>
    <w:p w14:paraId="79D2BED9">
      <w:pPr>
        <w:spacing w:line="360" w:lineRule="auto"/>
        <w:ind w:firstLine="480"/>
        <w:rPr>
          <w:rFonts w:hint="eastAsia" w:ascii="宋体" w:hAnsi="宋体" w:eastAsia="宋体" w:cs="宋体"/>
          <w:b/>
          <w:bCs/>
          <w:sz w:val="24"/>
          <w:szCs w:val="24"/>
          <w:highlight w:val="none"/>
        </w:rPr>
      </w:pPr>
      <w:bookmarkStart w:id="5" w:name="_Toc53217154"/>
      <w:r>
        <w:rPr>
          <w:rFonts w:hint="eastAsia" w:ascii="宋体" w:hAnsi="宋体" w:eastAsia="宋体" w:cs="宋体"/>
          <w:b/>
          <w:bCs/>
          <w:sz w:val="24"/>
          <w:szCs w:val="24"/>
          <w:highlight w:val="none"/>
          <w:lang w:val="en-US" w:eastAsia="zh-CN"/>
        </w:rPr>
        <w:t>三</w:t>
      </w:r>
      <w:r>
        <w:rPr>
          <w:rFonts w:hint="eastAsia" w:ascii="宋体" w:hAnsi="宋体" w:eastAsia="宋体" w:cs="宋体"/>
          <w:b/>
          <w:bCs/>
          <w:sz w:val="24"/>
          <w:szCs w:val="24"/>
          <w:highlight w:val="none"/>
        </w:rPr>
        <w:t>、等级保护测评主要包括以下几个方面：</w:t>
      </w:r>
      <w:bookmarkEnd w:id="5"/>
    </w:p>
    <w:p w14:paraId="1AF8246F">
      <w:pPr>
        <w:spacing w:line="360" w:lineRule="auto"/>
        <w:ind w:firstLine="480"/>
        <w:rPr>
          <w:rFonts w:hint="eastAsia" w:ascii="宋体" w:hAnsi="宋体" w:eastAsia="宋体" w:cs="宋体"/>
          <w:sz w:val="24"/>
          <w:szCs w:val="24"/>
          <w:highlight w:val="none"/>
        </w:rPr>
      </w:pPr>
      <w:bookmarkStart w:id="6" w:name="_Toc46177951"/>
      <w:bookmarkStart w:id="7" w:name="_Hlk35596349"/>
      <w:r>
        <w:rPr>
          <w:rFonts w:hint="eastAsia" w:ascii="宋体" w:hAnsi="宋体" w:eastAsia="宋体" w:cs="宋体"/>
          <w:sz w:val="24"/>
          <w:szCs w:val="24"/>
          <w:highlight w:val="none"/>
        </w:rPr>
        <w:t>等保测评：完成包括安全物理环境、安全计算环境、安全区域边界、安全通信网络、安全管理中心和安全管理机构、安全管理制度、安全管理人员、安全建设管理和安全运维管理方面的测评工作；</w:t>
      </w:r>
      <w:bookmarkEnd w:id="6"/>
    </w:p>
    <w:p w14:paraId="5B6AEA33">
      <w:pPr>
        <w:spacing w:line="360" w:lineRule="auto"/>
        <w:ind w:firstLine="480"/>
        <w:rPr>
          <w:rFonts w:hint="eastAsia" w:ascii="宋体" w:hAnsi="宋体" w:eastAsia="宋体" w:cs="宋体"/>
          <w:sz w:val="24"/>
          <w:szCs w:val="24"/>
          <w:highlight w:val="none"/>
        </w:rPr>
      </w:pPr>
      <w:bookmarkStart w:id="8" w:name="_Toc46177952"/>
      <w:r>
        <w:rPr>
          <w:rFonts w:hint="eastAsia" w:ascii="宋体" w:hAnsi="宋体" w:eastAsia="宋体" w:cs="宋体"/>
          <w:sz w:val="24"/>
          <w:szCs w:val="24"/>
          <w:highlight w:val="none"/>
        </w:rPr>
        <w:t>工具测试：针对重要信息系统进行漏洞扫描、渗透测试等安全服务工作；</w:t>
      </w:r>
      <w:bookmarkEnd w:id="8"/>
    </w:p>
    <w:p w14:paraId="6CCF001D">
      <w:pPr>
        <w:spacing w:line="360" w:lineRule="auto"/>
        <w:ind w:firstLine="480"/>
        <w:rPr>
          <w:rFonts w:hint="eastAsia" w:ascii="宋体" w:hAnsi="宋体" w:eastAsia="宋体" w:cs="宋体"/>
          <w:sz w:val="24"/>
          <w:szCs w:val="24"/>
          <w:highlight w:val="none"/>
        </w:rPr>
      </w:pPr>
      <w:bookmarkStart w:id="9" w:name="_Toc46177953"/>
      <w:r>
        <w:rPr>
          <w:rFonts w:hint="eastAsia" w:ascii="宋体" w:hAnsi="宋体" w:eastAsia="宋体" w:cs="宋体"/>
          <w:sz w:val="24"/>
          <w:szCs w:val="24"/>
          <w:highlight w:val="none"/>
        </w:rPr>
        <w:t>整改建议：投标人应根据现场测评中发现的问题，分析与GB/T 22239-2019、ISO/IEC 27001、ISO/IEC 20000、ISO 22301、ITIL和ITSS等行业最佳实践之间的差距，按照网络安全等级保护标准要求提出安全整改建议；</w:t>
      </w:r>
      <w:bookmarkEnd w:id="9"/>
    </w:p>
    <w:p w14:paraId="6840A3AC">
      <w:pPr>
        <w:spacing w:line="360" w:lineRule="auto"/>
        <w:ind w:firstLine="480"/>
        <w:rPr>
          <w:rFonts w:hint="eastAsia" w:ascii="宋体" w:hAnsi="宋体" w:eastAsia="宋体" w:cs="宋体"/>
          <w:sz w:val="24"/>
          <w:szCs w:val="24"/>
          <w:highlight w:val="none"/>
        </w:rPr>
      </w:pPr>
      <w:bookmarkStart w:id="10" w:name="_Toc46177954"/>
      <w:r>
        <w:rPr>
          <w:rFonts w:hint="eastAsia" w:ascii="宋体" w:hAnsi="宋体" w:eastAsia="宋体" w:cs="宋体"/>
          <w:sz w:val="24"/>
          <w:szCs w:val="24"/>
          <w:highlight w:val="none"/>
        </w:rPr>
        <w:t>编制测评报告：完成上述工作后，投标人最后出具符合标准要求的信息系统网络安全等级保护测评报告。</w:t>
      </w:r>
      <w:bookmarkEnd w:id="7"/>
      <w:bookmarkEnd w:id="10"/>
    </w:p>
    <w:p w14:paraId="61E98BAC">
      <w:pPr>
        <w:spacing w:line="360" w:lineRule="auto"/>
        <w:ind w:firstLine="480"/>
        <w:rPr>
          <w:rFonts w:hint="eastAsia" w:ascii="宋体" w:hAnsi="宋体" w:eastAsia="宋体" w:cs="宋体"/>
          <w:b/>
          <w:bCs/>
          <w:sz w:val="24"/>
          <w:szCs w:val="24"/>
          <w:highlight w:val="none"/>
        </w:rPr>
      </w:pPr>
      <w:bookmarkStart w:id="11" w:name="_Toc53217156"/>
      <w:r>
        <w:rPr>
          <w:rFonts w:hint="eastAsia" w:ascii="宋体" w:hAnsi="宋体" w:eastAsia="宋体" w:cs="宋体"/>
          <w:b/>
          <w:bCs/>
          <w:sz w:val="24"/>
          <w:szCs w:val="24"/>
          <w:highlight w:val="none"/>
          <w:lang w:val="en-US" w:eastAsia="zh-CN"/>
        </w:rPr>
        <w:t>四</w:t>
      </w:r>
      <w:r>
        <w:rPr>
          <w:rFonts w:hint="eastAsia" w:ascii="宋体" w:hAnsi="宋体" w:eastAsia="宋体" w:cs="宋体"/>
          <w:b/>
          <w:bCs/>
          <w:sz w:val="24"/>
          <w:szCs w:val="24"/>
          <w:highlight w:val="none"/>
        </w:rPr>
        <w:t>、工作要求：</w:t>
      </w:r>
      <w:bookmarkEnd w:id="11"/>
    </w:p>
    <w:p w14:paraId="51243859">
      <w:pPr>
        <w:spacing w:line="360" w:lineRule="auto"/>
        <w:ind w:firstLine="480"/>
        <w:rPr>
          <w:rFonts w:hint="eastAsia" w:ascii="宋体" w:hAnsi="宋体" w:eastAsia="宋体" w:cs="宋体"/>
          <w:sz w:val="24"/>
          <w:szCs w:val="24"/>
          <w:highlight w:val="none"/>
        </w:rPr>
      </w:pPr>
      <w:bookmarkStart w:id="12" w:name="_Toc53217157"/>
      <w:bookmarkStart w:id="13" w:name="_Toc52369337"/>
      <w:bookmarkStart w:id="14" w:name="_Toc46177957"/>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实施原则</w:t>
      </w:r>
      <w:bookmarkEnd w:id="12"/>
      <w:bookmarkEnd w:id="13"/>
      <w:bookmarkEnd w:id="14"/>
    </w:p>
    <w:p w14:paraId="5ECBF11E">
      <w:pPr>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规范性原则：成交供应商工作中的过程和文档，具有很好的规范性，可以便于项目的跟踪和控制；</w:t>
      </w:r>
    </w:p>
    <w:p w14:paraId="6BD315E8">
      <w:pPr>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标准性原则：测评方案的设计与实施应依据国家等级保护的相关标准进行。</w:t>
      </w:r>
    </w:p>
    <w:p w14:paraId="44D91E78">
      <w:pPr>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可控性原则：测评的工具、方法和过程需在双方认可的范围之内并符合进度表的安排，保证采购人对服务工作的可控性；</w:t>
      </w:r>
    </w:p>
    <w:p w14:paraId="5D04F96B">
      <w:pPr>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整体性原则：测评和分析的范围和内容应当整体全面，包括安全涉及的各个层面，避免由于遗漏造成未来的安全隐患；</w:t>
      </w:r>
    </w:p>
    <w:p w14:paraId="2AD61407">
      <w:pPr>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最小影响原则：测评工作应尽可能小的影响系统和网络的正常运行，不能对现网的运行和业务的正常提供产生显著影响(包括系统性能明显下降、网络拥塞、服务中断，如无法避免出现这些情况应在应答书上详细描述)；</w:t>
      </w:r>
    </w:p>
    <w:p w14:paraId="1204A606">
      <w:pPr>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保密原则：对测评的过程数据和结果数据严格保密，未经授权不得泄露给任何单位和个人，不得利用此数据进行任何侵害采购人网络的行为，否则采购人有权追究责任。</w:t>
      </w:r>
    </w:p>
    <w:p w14:paraId="66F38E3C">
      <w:pPr>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测评依据</w:t>
      </w:r>
    </w:p>
    <w:p w14:paraId="5196F710">
      <w:pPr>
        <w:pStyle w:val="51"/>
        <w:spacing w:line="420" w:lineRule="exact"/>
        <w:ind w:firstLine="720" w:firstLineChars="300"/>
        <w:jc w:val="left"/>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主要依据如下：</w:t>
      </w:r>
    </w:p>
    <w:p w14:paraId="286540A8">
      <w:pPr>
        <w:pStyle w:val="51"/>
        <w:spacing w:line="420" w:lineRule="exact"/>
        <w:ind w:firstLine="480" w:firstLineChars="200"/>
        <w:jc w:val="left"/>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《国家信息化领导小组关于加强信息安全保障工作的意见》（中办发[2003]27号）；</w:t>
      </w:r>
    </w:p>
    <w:p w14:paraId="032F07A8">
      <w:pPr>
        <w:pStyle w:val="51"/>
        <w:spacing w:line="420" w:lineRule="exact"/>
        <w:ind w:firstLine="480" w:firstLineChars="200"/>
        <w:jc w:val="left"/>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《计算机信息重要信息系统安全保护等级划分准则》（GB 17859-1999）；</w:t>
      </w:r>
    </w:p>
    <w:p w14:paraId="78F38CED">
      <w:pPr>
        <w:pStyle w:val="51"/>
        <w:spacing w:line="420" w:lineRule="exact"/>
        <w:ind w:firstLine="480" w:firstLineChars="200"/>
        <w:jc w:val="left"/>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《信息安全等级保护管理办法》（公通字[2007]43号）；</w:t>
      </w:r>
    </w:p>
    <w:p w14:paraId="66CBC7B8">
      <w:pPr>
        <w:pStyle w:val="51"/>
        <w:spacing w:line="420" w:lineRule="exact"/>
        <w:ind w:firstLine="480" w:firstLineChars="200"/>
        <w:jc w:val="left"/>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《GB/T 22239-2019信息安全技术 网络安全等级保护基本要求》；</w:t>
      </w:r>
    </w:p>
    <w:p w14:paraId="715F40BF">
      <w:pPr>
        <w:pStyle w:val="51"/>
        <w:spacing w:line="420" w:lineRule="exact"/>
        <w:ind w:firstLine="480" w:firstLineChars="200"/>
        <w:jc w:val="left"/>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《GB/T 28448-2019 信息安全技术 网络安全等级保护测评要求》；</w:t>
      </w:r>
    </w:p>
    <w:p w14:paraId="610A3877">
      <w:pPr>
        <w:pStyle w:val="51"/>
        <w:spacing w:line="420" w:lineRule="exact"/>
        <w:ind w:firstLine="480" w:firstLineChars="200"/>
        <w:jc w:val="left"/>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《GB/T 25070-2019信息安全技术 网络安全等级保护安全设计技术要求》；</w:t>
      </w:r>
    </w:p>
    <w:p w14:paraId="32BAA051">
      <w:pPr>
        <w:pStyle w:val="51"/>
        <w:spacing w:line="420" w:lineRule="exact"/>
        <w:ind w:firstLine="480" w:firstLineChars="200"/>
        <w:jc w:val="left"/>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《GB/T 28449-2018 信息安全技术 网络安全等级保护测评过程指南》；</w:t>
      </w:r>
    </w:p>
    <w:p w14:paraId="3A776A33">
      <w:pPr>
        <w:pStyle w:val="51"/>
        <w:spacing w:line="420" w:lineRule="exact"/>
        <w:ind w:firstLine="480" w:firstLineChars="200"/>
        <w:jc w:val="left"/>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《GB/T 22240-2020信息安全技术 网络安全等级保护定级指南》。</w:t>
      </w:r>
    </w:p>
    <w:p w14:paraId="64C0C929">
      <w:pPr>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等级保护测评内容</w:t>
      </w:r>
    </w:p>
    <w:p w14:paraId="478CDB48">
      <w:pPr>
        <w:spacing w:line="360" w:lineRule="auto"/>
        <w:ind w:firstLine="480"/>
        <w:rPr>
          <w:rFonts w:hint="eastAsia" w:ascii="宋体" w:hAnsi="宋体" w:eastAsia="宋体" w:cs="宋体"/>
          <w:sz w:val="24"/>
          <w:szCs w:val="24"/>
          <w:highlight w:val="none"/>
        </w:rPr>
      </w:pPr>
      <w:bookmarkStart w:id="15" w:name="_Toc288570237"/>
      <w:bookmarkStart w:id="16" w:name="_Toc288552020"/>
      <w:bookmarkStart w:id="17" w:name="_Toc287704425"/>
      <w:bookmarkStart w:id="18" w:name="_Toc288574635"/>
      <w:r>
        <w:rPr>
          <w:rFonts w:hint="eastAsia" w:ascii="宋体" w:hAnsi="宋体" w:eastAsia="宋体" w:cs="宋体"/>
          <w:sz w:val="24"/>
          <w:szCs w:val="24"/>
          <w:highlight w:val="none"/>
        </w:rPr>
        <w:t>根据国家等级保护相关标准，本次项目的网络安全等级保护测评应包括以下内容：</w:t>
      </w:r>
    </w:p>
    <w:bookmarkEnd w:id="15"/>
    <w:bookmarkEnd w:id="16"/>
    <w:bookmarkEnd w:id="17"/>
    <w:bookmarkEnd w:id="18"/>
    <w:p w14:paraId="1213B817">
      <w:pPr>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安全技术测评：包括安全物理环境、安全通信网络、安全区域边界、安全计算环境、安全管理中心等五个方面的安全测评；</w:t>
      </w:r>
    </w:p>
    <w:p w14:paraId="71531F20">
      <w:pPr>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安全管理测评：包括安全管理制度、安全管理机构、安全管理人员、安全建设管理和安全运维管理等五个方面的安全测评。</w:t>
      </w:r>
    </w:p>
    <w:p w14:paraId="60968C21">
      <w:pPr>
        <w:spacing w:line="360" w:lineRule="auto"/>
        <w:ind w:firstLine="480"/>
        <w:rPr>
          <w:rFonts w:hint="eastAsia" w:ascii="宋体" w:hAnsi="宋体" w:eastAsia="宋体" w:cs="宋体"/>
          <w:sz w:val="24"/>
          <w:szCs w:val="24"/>
          <w:highlight w:val="none"/>
        </w:rPr>
      </w:pPr>
      <w:bookmarkStart w:id="19" w:name="_Toc4424566"/>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a</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安全物理</w:t>
      </w:r>
      <w:bookmarkEnd w:id="19"/>
      <w:r>
        <w:rPr>
          <w:rFonts w:hint="eastAsia" w:ascii="宋体" w:hAnsi="宋体" w:eastAsia="宋体" w:cs="宋体"/>
          <w:sz w:val="24"/>
          <w:szCs w:val="24"/>
          <w:highlight w:val="none"/>
        </w:rPr>
        <w:t>环境</w:t>
      </w:r>
    </w:p>
    <w:p w14:paraId="53D35C1E">
      <w:pPr>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安全物理环境是对机房和办公场所的物理环境安全防护情况进行测评，包括物理位置选择、物理访问控制、防盗窃和防破坏、防雷击、防火、防水和防潮、防静电、温湿度控制、电力供应和电磁防护等方面的安全状况。</w:t>
      </w:r>
    </w:p>
    <w:p w14:paraId="03C6B6C1">
      <w:pPr>
        <w:spacing w:line="360" w:lineRule="auto"/>
        <w:ind w:firstLine="480"/>
        <w:rPr>
          <w:rFonts w:hint="eastAsia" w:ascii="宋体" w:hAnsi="宋体" w:eastAsia="宋体" w:cs="宋体"/>
          <w:sz w:val="24"/>
          <w:szCs w:val="24"/>
          <w:highlight w:val="none"/>
        </w:rPr>
      </w:pPr>
      <w:bookmarkStart w:id="20" w:name="_Toc4424567"/>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b</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安全通信网络</w:t>
      </w:r>
      <w:bookmarkEnd w:id="20"/>
    </w:p>
    <w:p w14:paraId="43E91C71">
      <w:pPr>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安全通信网络测评是对网络系统安全防护情况进行测评，包括网络架构、通信传输、可信验证等方面的安全状况。</w:t>
      </w:r>
    </w:p>
    <w:p w14:paraId="6B1D39DA">
      <w:pPr>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c</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安全区域边界</w:t>
      </w:r>
    </w:p>
    <w:p w14:paraId="52663903">
      <w:pPr>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安全区域边界是对边界防护、访问控制、入侵防范、恶意代码防范、安全审计、可信验证等方面的测评。</w:t>
      </w:r>
    </w:p>
    <w:p w14:paraId="47507E04">
      <w:pPr>
        <w:spacing w:line="360" w:lineRule="auto"/>
        <w:ind w:firstLine="480"/>
        <w:rPr>
          <w:rFonts w:hint="eastAsia" w:ascii="宋体" w:hAnsi="宋体" w:eastAsia="宋体" w:cs="宋体"/>
          <w:sz w:val="24"/>
          <w:szCs w:val="24"/>
          <w:highlight w:val="none"/>
        </w:rPr>
      </w:pPr>
      <w:bookmarkStart w:id="21" w:name="_Toc4424569"/>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d</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安全</w:t>
      </w:r>
      <w:bookmarkEnd w:id="21"/>
      <w:r>
        <w:rPr>
          <w:rFonts w:hint="eastAsia" w:ascii="宋体" w:hAnsi="宋体" w:eastAsia="宋体" w:cs="宋体"/>
          <w:sz w:val="24"/>
          <w:szCs w:val="24"/>
          <w:highlight w:val="none"/>
        </w:rPr>
        <w:t>计算环境</w:t>
      </w:r>
    </w:p>
    <w:p w14:paraId="67120379">
      <w:pPr>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安全计算环境是对身份鉴别、访问控制、安全审计、入侵防范、恶意代码防范、可信验证、数据完整性、数据保密性、数据备份恢复、剩余信息保护、个人信息保护等方面的测评。</w:t>
      </w:r>
    </w:p>
    <w:p w14:paraId="52C786FE">
      <w:pPr>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e</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安全管理中心</w:t>
      </w:r>
    </w:p>
    <w:p w14:paraId="1C9EDBEE">
      <w:pPr>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安全管理中心是对系统管理、审计管理、安全管理、集中管控等方面的测评。</w:t>
      </w:r>
    </w:p>
    <w:p w14:paraId="0835AE45">
      <w:pPr>
        <w:spacing w:line="360" w:lineRule="auto"/>
        <w:ind w:firstLine="480"/>
        <w:rPr>
          <w:rFonts w:hint="eastAsia" w:ascii="宋体" w:hAnsi="宋体" w:eastAsia="宋体" w:cs="宋体"/>
          <w:sz w:val="24"/>
          <w:szCs w:val="24"/>
          <w:highlight w:val="none"/>
        </w:rPr>
      </w:pPr>
      <w:bookmarkStart w:id="22" w:name="_Toc4424571"/>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f</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安全管理制度</w:t>
      </w:r>
      <w:bookmarkEnd w:id="22"/>
    </w:p>
    <w:p w14:paraId="4751D234">
      <w:pPr>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安全管理制度测评是对安全策略、管理制度、制定和发布、评审和修订进行测评。</w:t>
      </w:r>
    </w:p>
    <w:p w14:paraId="5B6EAFA3">
      <w:pPr>
        <w:spacing w:line="360" w:lineRule="auto"/>
        <w:ind w:firstLine="480"/>
        <w:rPr>
          <w:rFonts w:hint="eastAsia" w:ascii="宋体" w:hAnsi="宋体" w:eastAsia="宋体" w:cs="宋体"/>
          <w:sz w:val="24"/>
          <w:szCs w:val="24"/>
          <w:highlight w:val="none"/>
        </w:rPr>
      </w:pPr>
      <w:bookmarkStart w:id="23" w:name="_Toc4424572"/>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g</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安全管理机构</w:t>
      </w:r>
      <w:bookmarkEnd w:id="23"/>
    </w:p>
    <w:p w14:paraId="15B5E69B">
      <w:pPr>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安全管理机构测评是对岗位设置、人员配备、授权和审批、沟通和合作、审核和检查等情况进行测评。</w:t>
      </w:r>
    </w:p>
    <w:p w14:paraId="6263CFE0">
      <w:pPr>
        <w:spacing w:line="360" w:lineRule="auto"/>
        <w:ind w:firstLine="480"/>
        <w:rPr>
          <w:rFonts w:hint="eastAsia" w:ascii="宋体" w:hAnsi="宋体" w:eastAsia="宋体" w:cs="宋体"/>
          <w:sz w:val="24"/>
          <w:szCs w:val="24"/>
          <w:highlight w:val="none"/>
        </w:rPr>
      </w:pPr>
      <w:bookmarkStart w:id="24" w:name="_Toc4424573"/>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h</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安全管理</w:t>
      </w:r>
      <w:bookmarkEnd w:id="24"/>
      <w:r>
        <w:rPr>
          <w:rFonts w:hint="eastAsia" w:ascii="宋体" w:hAnsi="宋体" w:eastAsia="宋体" w:cs="宋体"/>
          <w:sz w:val="24"/>
          <w:szCs w:val="24"/>
          <w:highlight w:val="none"/>
        </w:rPr>
        <w:t>人员</w:t>
      </w:r>
    </w:p>
    <w:p w14:paraId="59288BA6">
      <w:pPr>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安全管理人员测评是对人员录用、人员离岗、安全意识教育和培训、外部人员访问管理等情况进行测评。</w:t>
      </w:r>
    </w:p>
    <w:p w14:paraId="395B3132">
      <w:pPr>
        <w:spacing w:line="360" w:lineRule="auto"/>
        <w:ind w:firstLine="480"/>
        <w:rPr>
          <w:rFonts w:hint="eastAsia" w:ascii="宋体" w:hAnsi="宋体" w:eastAsia="宋体" w:cs="宋体"/>
          <w:sz w:val="24"/>
          <w:szCs w:val="24"/>
          <w:highlight w:val="none"/>
        </w:rPr>
      </w:pPr>
      <w:bookmarkStart w:id="25" w:name="_Toc4424574"/>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i</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安全建设管理</w:t>
      </w:r>
      <w:bookmarkEnd w:id="25"/>
    </w:p>
    <w:p w14:paraId="1AE52D92">
      <w:pPr>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安全建设管理测评是对建设过程中安全方案设计、产品采购和使用、自行软件开发、外包软件开发、 工程实施、测试验收、系统交付、 等级测评、服务供应商选择等情况进行测评。</w:t>
      </w:r>
    </w:p>
    <w:p w14:paraId="2615469E">
      <w:pPr>
        <w:spacing w:line="360" w:lineRule="auto"/>
        <w:ind w:firstLine="480"/>
        <w:rPr>
          <w:rFonts w:hint="eastAsia" w:ascii="宋体" w:hAnsi="宋体" w:eastAsia="宋体" w:cs="宋体"/>
          <w:sz w:val="24"/>
          <w:szCs w:val="24"/>
          <w:highlight w:val="none"/>
        </w:rPr>
      </w:pPr>
      <w:bookmarkStart w:id="26" w:name="_Toc4424575"/>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j</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安全运维管理</w:t>
      </w:r>
      <w:bookmarkEnd w:id="26"/>
    </w:p>
    <w:p w14:paraId="2C311C1C">
      <w:pPr>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安全运维管理测评是对环境管理、资产管理、介质管理、设备维护管理、漏洞和风险管理、网络和系统安全管理、恶意代码防范管理、配置管理、密码管理、变更管理、备份与恢复管理、安全事件处置、 应急预案管理、外包运维管理等情况进行测评。</w:t>
      </w:r>
    </w:p>
    <w:p w14:paraId="2DB8096B">
      <w:pPr>
        <w:pStyle w:val="52"/>
        <w:spacing w:line="420" w:lineRule="exact"/>
        <w:ind w:left="0" w:firstLine="241" w:firstLineChars="100"/>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五、实施要求</w:t>
      </w:r>
    </w:p>
    <w:p w14:paraId="4C6C04A1">
      <w:pPr>
        <w:pStyle w:val="51"/>
        <w:spacing w:line="420" w:lineRule="exact"/>
        <w:ind w:firstLine="480" w:firstLineChars="200"/>
        <w:jc w:val="left"/>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kern w:val="2"/>
          <w:sz w:val="24"/>
          <w:szCs w:val="24"/>
          <w:highlight w:val="none"/>
          <w:lang w:val="en-US" w:eastAsia="zh-CN" w:bidi="ar-SA"/>
        </w:rPr>
        <w:t>1、为了保证本项目实施质量和工期，投标供应商须安排具备项目管理能力与等保测评工作经验丰富的人员担任项目经理、具备一定安全技术专业能力的人员担任技术负责人。项目组人员不少于3人且全部具备与本项目相关证书，持证上岗。</w:t>
      </w:r>
    </w:p>
    <w:p w14:paraId="4C1A12D8">
      <w:pPr>
        <w:pStyle w:val="51"/>
        <w:spacing w:line="420" w:lineRule="exact"/>
        <w:ind w:firstLine="480" w:firstLineChars="200"/>
        <w:jc w:val="left"/>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kern w:val="2"/>
          <w:sz w:val="24"/>
          <w:szCs w:val="24"/>
          <w:highlight w:val="none"/>
          <w:lang w:val="en-US" w:eastAsia="zh-CN" w:bidi="ar-SA"/>
        </w:rPr>
        <w:t>2、项目进场实施前，中标供应商必须与采购人签订项目保密协议。</w:t>
      </w:r>
    </w:p>
    <w:p w14:paraId="28043DF8">
      <w:pPr>
        <w:pStyle w:val="51"/>
        <w:spacing w:line="420" w:lineRule="exact"/>
        <w:ind w:firstLine="480" w:firstLineChars="200"/>
        <w:jc w:val="left"/>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kern w:val="2"/>
          <w:sz w:val="24"/>
          <w:szCs w:val="24"/>
          <w:highlight w:val="none"/>
          <w:lang w:val="en-US" w:eastAsia="zh-CN" w:bidi="ar-SA"/>
        </w:rPr>
        <w:t>3、供应商须制定项目的风险控制计划，规避项目计划风险，供应商须准备详细的针对典型重要信息系统安全事件的应急处理手册。</w:t>
      </w:r>
    </w:p>
    <w:p w14:paraId="22ABAB43">
      <w:pPr>
        <w:pStyle w:val="51"/>
        <w:spacing w:line="420" w:lineRule="exact"/>
        <w:ind w:firstLine="480" w:firstLineChars="200"/>
        <w:jc w:val="left"/>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kern w:val="2"/>
          <w:sz w:val="24"/>
          <w:szCs w:val="24"/>
          <w:highlight w:val="none"/>
          <w:lang w:val="en-US" w:eastAsia="zh-CN" w:bidi="ar-SA"/>
        </w:rPr>
        <w:t>4、供应商须制定合理的时间计划安排。（项目服务时间：自合同签订之日起1年内完成）</w:t>
      </w:r>
    </w:p>
    <w:p w14:paraId="50EDE526">
      <w:pPr>
        <w:pStyle w:val="51"/>
        <w:spacing w:line="420" w:lineRule="exact"/>
        <w:ind w:firstLine="480" w:firstLineChars="200"/>
        <w:jc w:val="left"/>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kern w:val="2"/>
          <w:sz w:val="24"/>
          <w:szCs w:val="24"/>
          <w:highlight w:val="none"/>
          <w:lang w:val="en-US" w:eastAsia="zh-CN" w:bidi="ar-SA"/>
        </w:rPr>
        <w:t>5、本次项目实施过程主要分为准备阶段、方案编制阶段、现场测评阶段、分析与报告编制四个主要项目阶段，供应商须在方案中明确各阶段双方的主要工作，各阶段双方须相互配合协调的内容。</w:t>
      </w:r>
    </w:p>
    <w:p w14:paraId="29820FE4">
      <w:pPr>
        <w:pStyle w:val="51"/>
        <w:spacing w:line="420" w:lineRule="exact"/>
        <w:ind w:firstLine="480" w:firstLineChars="200"/>
        <w:jc w:val="left"/>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kern w:val="2"/>
          <w:sz w:val="24"/>
          <w:szCs w:val="24"/>
          <w:highlight w:val="none"/>
          <w:lang w:val="en-US" w:eastAsia="zh-CN" w:bidi="ar-SA"/>
        </w:rPr>
        <w:t>6、项目实施期间由项目组成员负责项目实施期间重要信息系统的应急响应工作。</w:t>
      </w:r>
    </w:p>
    <w:p w14:paraId="217AD966">
      <w:pPr>
        <w:spacing w:line="360" w:lineRule="auto"/>
        <w:rPr>
          <w:rFonts w:hint="eastAsia" w:ascii="宋体" w:hAnsi="宋体" w:eastAsia="宋体" w:cs="宋体"/>
          <w:b/>
          <w:bCs/>
          <w:sz w:val="24"/>
          <w:szCs w:val="24"/>
          <w:highlight w:val="none"/>
        </w:rPr>
      </w:pPr>
      <w:bookmarkStart w:id="27" w:name="_Toc53217159"/>
      <w:r>
        <w:rPr>
          <w:rFonts w:hint="eastAsia" w:ascii="宋体" w:hAnsi="宋体" w:eastAsia="宋体" w:cs="宋体"/>
          <w:b/>
          <w:bCs/>
          <w:sz w:val="24"/>
          <w:szCs w:val="24"/>
          <w:highlight w:val="none"/>
          <w:lang w:val="en-US" w:eastAsia="zh-CN"/>
        </w:rPr>
        <w:t>六</w:t>
      </w:r>
      <w:r>
        <w:rPr>
          <w:rFonts w:hint="eastAsia" w:ascii="宋体" w:hAnsi="宋体" w:eastAsia="宋体" w:cs="宋体"/>
          <w:b/>
          <w:bCs/>
          <w:sz w:val="24"/>
          <w:szCs w:val="24"/>
          <w:highlight w:val="none"/>
        </w:rPr>
        <w:t>、报价要求</w:t>
      </w:r>
      <w:bookmarkEnd w:id="27"/>
    </w:p>
    <w:p w14:paraId="484CACFD">
      <w:pPr>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本项目报总价，报价包含完成本项目服务期间所产生的一切费用，采购人后期不再另行追加费用。</w:t>
      </w:r>
    </w:p>
    <w:p w14:paraId="4C4FF77B">
      <w:pPr>
        <w:spacing w:line="360" w:lineRule="auto"/>
        <w:ind w:firstLine="480"/>
        <w:rPr>
          <w:rFonts w:hint="eastAsia" w:ascii="宋体" w:hAnsi="宋体" w:eastAsia="宋体" w:cs="宋体"/>
          <w:b/>
          <w:bCs/>
          <w:sz w:val="24"/>
          <w:szCs w:val="24"/>
          <w:highlight w:val="none"/>
        </w:rPr>
      </w:pPr>
      <w:bookmarkStart w:id="28" w:name="_Toc53217161"/>
      <w:r>
        <w:rPr>
          <w:rFonts w:hint="eastAsia" w:ascii="宋体" w:hAnsi="宋体" w:eastAsia="宋体" w:cs="宋体"/>
          <w:b/>
          <w:bCs/>
          <w:sz w:val="24"/>
          <w:szCs w:val="24"/>
          <w:highlight w:val="none"/>
          <w:lang w:val="en-US" w:eastAsia="zh-CN"/>
        </w:rPr>
        <w:t>七</w:t>
      </w:r>
      <w:r>
        <w:rPr>
          <w:rFonts w:hint="eastAsia" w:ascii="宋体" w:hAnsi="宋体" w:eastAsia="宋体" w:cs="宋体"/>
          <w:b/>
          <w:bCs/>
          <w:sz w:val="24"/>
          <w:szCs w:val="24"/>
          <w:highlight w:val="none"/>
        </w:rPr>
        <w:t>、验收标准</w:t>
      </w:r>
      <w:bookmarkEnd w:id="28"/>
    </w:p>
    <w:p w14:paraId="65F57627">
      <w:pPr>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本项目服务的验收将以成交供应商提交《测评报告》为准。</w:t>
      </w:r>
    </w:p>
    <w:p w14:paraId="2AA36073">
      <w:pPr>
        <w:rPr>
          <w:rFonts w:hint="default"/>
          <w:highlight w:val="none"/>
          <w:lang w:val="en-US" w:eastAsia="zh-CN"/>
        </w:rPr>
      </w:pPr>
    </w:p>
    <w:p w14:paraId="346353E6">
      <w:pPr>
        <w:pStyle w:val="2"/>
        <w:rPr>
          <w:rFonts w:hint="default"/>
          <w:highlight w:val="none"/>
          <w:lang w:val="en-US" w:eastAsia="zh-CN"/>
        </w:rPr>
      </w:pPr>
    </w:p>
    <w:p w14:paraId="249D7EE5">
      <w:pPr>
        <w:spacing w:line="420" w:lineRule="exact"/>
        <w:rPr>
          <w:highlight w:val="none"/>
        </w:rPr>
      </w:pPr>
    </w:p>
    <w:p w14:paraId="10086BC4">
      <w:pPr>
        <w:rPr>
          <w:rFonts w:hint="eastAsia"/>
          <w:highlight w:val="none"/>
        </w:rPr>
      </w:pPr>
    </w:p>
    <w:p w14:paraId="011E75A8">
      <w:pPr>
        <w:rPr>
          <w:highlight w:val="none"/>
        </w:rPr>
      </w:pPr>
      <w:r>
        <w:rPr>
          <w:rFonts w:hint="eastAsia"/>
          <w:highlight w:val="none"/>
        </w:rPr>
        <w:t xml:space="preserve">附件2 </w:t>
      </w:r>
      <w:r>
        <w:rPr>
          <w:rFonts w:hint="eastAsia"/>
          <w:szCs w:val="28"/>
          <w:highlight w:val="none"/>
        </w:rPr>
        <w:t xml:space="preserve"> </w:t>
      </w:r>
      <w:r>
        <w:rPr>
          <w:rFonts w:hint="eastAsia"/>
          <w:highlight w:val="none"/>
        </w:rPr>
        <w:t xml:space="preserve">                   </w:t>
      </w:r>
    </w:p>
    <w:p w14:paraId="0894590B">
      <w:pPr>
        <w:jc w:val="center"/>
        <w:rPr>
          <w:b/>
          <w:bCs/>
          <w:sz w:val="32"/>
          <w:szCs w:val="32"/>
          <w:highlight w:val="none"/>
        </w:rPr>
      </w:pPr>
      <w:r>
        <w:rPr>
          <w:rFonts w:hint="eastAsia" w:cs="宋体"/>
          <w:b/>
          <w:bCs/>
          <w:sz w:val="32"/>
          <w:szCs w:val="32"/>
          <w:highlight w:val="none"/>
        </w:rPr>
        <w:t>承诺书</w:t>
      </w:r>
    </w:p>
    <w:p w14:paraId="3E28B884">
      <w:pPr>
        <w:rPr>
          <w:highlight w:val="none"/>
        </w:rPr>
      </w:pPr>
    </w:p>
    <w:p w14:paraId="3B3B63CD">
      <w:pPr>
        <w:jc w:val="left"/>
        <w:rPr>
          <w:highlight w:val="none"/>
        </w:rPr>
      </w:pPr>
      <w:r>
        <w:rPr>
          <w:rFonts w:hint="eastAsia"/>
          <w:highlight w:val="none"/>
        </w:rPr>
        <w:t>中国矿业大学徐海学院：</w:t>
      </w:r>
    </w:p>
    <w:p w14:paraId="70708856">
      <w:pPr>
        <w:ind w:firstLine="480" w:firstLineChars="200"/>
        <w:rPr>
          <w:highlight w:val="none"/>
        </w:rPr>
      </w:pPr>
      <w:r>
        <w:rPr>
          <w:rFonts w:hint="eastAsia"/>
          <w:highlight w:val="none"/>
        </w:rPr>
        <w:t>我方确认收到贵院提供的中国矿业大学徐海学院</w:t>
      </w:r>
      <w:r>
        <w:rPr>
          <w:rFonts w:hint="eastAsia"/>
          <w:highlight w:val="none"/>
          <w:lang w:eastAsia="zh-CN"/>
        </w:rPr>
        <w:t>网络安全等级保护</w:t>
      </w:r>
      <w:r>
        <w:rPr>
          <w:rFonts w:hint="eastAsia"/>
          <w:highlight w:val="none"/>
        </w:rPr>
        <w:t>测评服务项目的询价文件，并已完全了解文件中所有条款及要求：经研究决定参加询价。</w:t>
      </w:r>
    </w:p>
    <w:p w14:paraId="282B356B">
      <w:pPr>
        <w:ind w:firstLine="480" w:firstLineChars="200"/>
        <w:rPr>
          <w:highlight w:val="none"/>
        </w:rPr>
      </w:pPr>
      <w:r>
        <w:rPr>
          <w:rFonts w:hint="eastAsia"/>
          <w:highlight w:val="none"/>
        </w:rPr>
        <w:t>现正式授权下述签字人</w:t>
      </w:r>
      <w:r>
        <w:rPr>
          <w:rFonts w:hint="eastAsia"/>
          <w:highlight w:val="none"/>
          <w:u w:val="single"/>
        </w:rPr>
        <w:t xml:space="preserve">       </w:t>
      </w:r>
      <w:r>
        <w:rPr>
          <w:rFonts w:hint="eastAsia"/>
          <w:highlight w:val="none"/>
        </w:rPr>
        <w:t>（姓名和职务）代表我方</w:t>
      </w:r>
      <w:r>
        <w:rPr>
          <w:rFonts w:hint="eastAsia"/>
          <w:highlight w:val="none"/>
          <w:u w:val="single"/>
        </w:rPr>
        <w:t xml:space="preserve">        </w:t>
      </w:r>
      <w:r>
        <w:rPr>
          <w:rFonts w:hint="eastAsia"/>
          <w:highlight w:val="none"/>
        </w:rPr>
        <w:t>（询价单位名称）全权处理本次项目询价的有关事宜。据此承诺书，我方在此提交响应文件的同时做出如下承诺：</w:t>
      </w:r>
    </w:p>
    <w:p w14:paraId="1CAD0C2F">
      <w:pPr>
        <w:ind w:firstLine="480" w:firstLineChars="200"/>
        <w:rPr>
          <w:highlight w:val="none"/>
        </w:rPr>
      </w:pPr>
      <w:r>
        <w:rPr>
          <w:rFonts w:hint="eastAsia"/>
          <w:highlight w:val="none"/>
        </w:rPr>
        <w:t>1.我方按询价文件规定提供的中国矿业大学徐海学院</w:t>
      </w:r>
      <w:r>
        <w:rPr>
          <w:rFonts w:hint="eastAsia"/>
          <w:highlight w:val="none"/>
          <w:lang w:eastAsia="zh-CN"/>
        </w:rPr>
        <w:t>网络安全等级保护</w:t>
      </w:r>
      <w:r>
        <w:rPr>
          <w:rFonts w:hint="eastAsia"/>
          <w:highlight w:val="none"/>
        </w:rPr>
        <w:t>测评服务项目报价大写：</w:t>
      </w:r>
      <w:r>
        <w:rPr>
          <w:rFonts w:hint="eastAsia"/>
          <w:highlight w:val="none"/>
          <w:u w:val="single"/>
        </w:rPr>
        <w:t xml:space="preserve">           </w:t>
      </w:r>
      <w:r>
        <w:rPr>
          <w:rFonts w:hint="eastAsia"/>
          <w:highlight w:val="none"/>
        </w:rPr>
        <w:t>，小写：</w:t>
      </w:r>
      <w:r>
        <w:rPr>
          <w:rFonts w:hint="eastAsia"/>
          <w:highlight w:val="none"/>
          <w:u w:val="single"/>
        </w:rPr>
        <w:t xml:space="preserve">￥         </w:t>
      </w:r>
      <w:r>
        <w:rPr>
          <w:rFonts w:hint="eastAsia"/>
          <w:highlight w:val="none"/>
        </w:rPr>
        <w:t>。详见《询价报价表》附件</w:t>
      </w:r>
      <w:r>
        <w:rPr>
          <w:highlight w:val="none"/>
        </w:rPr>
        <w:t>3</w:t>
      </w:r>
      <w:r>
        <w:rPr>
          <w:rFonts w:hint="eastAsia"/>
          <w:highlight w:val="none"/>
        </w:rPr>
        <w:t>。</w:t>
      </w:r>
    </w:p>
    <w:p w14:paraId="35B93766">
      <w:pPr>
        <w:ind w:firstLine="480" w:firstLineChars="200"/>
        <w:rPr>
          <w:highlight w:val="none"/>
        </w:rPr>
      </w:pPr>
      <w:r>
        <w:rPr>
          <w:rFonts w:hint="eastAsia"/>
          <w:highlight w:val="none"/>
        </w:rPr>
        <w:t>2.愿意接受询价文件的所有条款和条件，并按其要求完成本项目采购；完全理解并同意放弃对这方面有不明及误解的权利。</w:t>
      </w:r>
    </w:p>
    <w:p w14:paraId="1D8F131B">
      <w:pPr>
        <w:ind w:firstLine="480" w:firstLineChars="200"/>
        <w:rPr>
          <w:highlight w:val="none"/>
        </w:rPr>
      </w:pPr>
      <w:r>
        <w:rPr>
          <w:rFonts w:hint="eastAsia"/>
          <w:highlight w:val="none"/>
        </w:rPr>
        <w:t>3.同意按询价文件的要求提供所有资料、数据或信息。若贵方要求我方另外提供与询价有关的任何证据或资料，我方将按要求予以提供并保证其为真实的、准确的。</w:t>
      </w:r>
    </w:p>
    <w:p w14:paraId="14DCBE7D">
      <w:pPr>
        <w:ind w:firstLine="480" w:firstLineChars="200"/>
        <w:rPr>
          <w:highlight w:val="none"/>
        </w:rPr>
      </w:pPr>
      <w:r>
        <w:rPr>
          <w:rFonts w:hint="eastAsia"/>
          <w:highlight w:val="none"/>
        </w:rPr>
        <w:t>4.同意贵方有权决定成交者，并完全理解不一定要接受最低报价或收到的任何报价。</w:t>
      </w:r>
    </w:p>
    <w:p w14:paraId="7384866B">
      <w:pPr>
        <w:ind w:firstLine="480" w:firstLineChars="200"/>
        <w:rPr>
          <w:highlight w:val="none"/>
        </w:rPr>
      </w:pPr>
      <w:r>
        <w:rPr>
          <w:rFonts w:hint="eastAsia"/>
          <w:highlight w:val="none"/>
        </w:rPr>
        <w:t>5.我方如为成交供应商，将保证履行询价文件（含补充通知）中的全部责任和义务；贵方的询价文件、成交通知书和我方的响应文件将作为协议的有效组成部分。</w:t>
      </w:r>
    </w:p>
    <w:p w14:paraId="3E259BE0">
      <w:pPr>
        <w:ind w:firstLine="480" w:firstLineChars="200"/>
        <w:rPr>
          <w:highlight w:val="none"/>
        </w:rPr>
      </w:pPr>
      <w:r>
        <w:rPr>
          <w:rFonts w:hint="eastAsia"/>
          <w:highlight w:val="none"/>
        </w:rPr>
        <w:t>6.本询价文件的有效期为规定提交响应文件截止之日后7天，如成交，有效期将延至协议有效期终止日为止。</w:t>
      </w:r>
    </w:p>
    <w:p w14:paraId="43D9B485">
      <w:pPr>
        <w:rPr>
          <w:highlight w:val="none"/>
        </w:rPr>
      </w:pPr>
    </w:p>
    <w:p w14:paraId="11EF2B7C">
      <w:pPr>
        <w:rPr>
          <w:highlight w:val="none"/>
        </w:rPr>
      </w:pPr>
    </w:p>
    <w:p w14:paraId="1F63ED5F">
      <w:pPr>
        <w:ind w:firstLine="5520" w:firstLineChars="2300"/>
        <w:rPr>
          <w:highlight w:val="none"/>
        </w:rPr>
      </w:pPr>
      <w:r>
        <w:rPr>
          <w:rFonts w:hint="eastAsia"/>
          <w:highlight w:val="none"/>
        </w:rPr>
        <w:t xml:space="preserve">供应商名称（盖章）：                                 </w:t>
      </w:r>
    </w:p>
    <w:p w14:paraId="57960743">
      <w:pPr>
        <w:ind w:left="5520" w:leftChars="2300"/>
        <w:rPr>
          <w:highlight w:val="none"/>
        </w:rPr>
      </w:pPr>
      <w:r>
        <w:rPr>
          <w:rFonts w:hint="eastAsia"/>
          <w:highlight w:val="none"/>
        </w:rPr>
        <w:t>供应商法定代表人或授权代表人（签章）：</w:t>
      </w:r>
    </w:p>
    <w:p w14:paraId="31A1868F">
      <w:pPr>
        <w:ind w:left="5520" w:leftChars="2300"/>
        <w:rPr>
          <w:highlight w:val="none"/>
        </w:rPr>
      </w:pPr>
      <w:r>
        <w:rPr>
          <w:rFonts w:hint="eastAsia"/>
          <w:highlight w:val="none"/>
        </w:rPr>
        <w:t xml:space="preserve">联系方式：               </w:t>
      </w:r>
    </w:p>
    <w:p w14:paraId="1CB3E109">
      <w:pPr>
        <w:ind w:firstLine="6000" w:firstLineChars="2500"/>
        <w:rPr>
          <w:highlight w:val="none"/>
        </w:rPr>
      </w:pPr>
      <w:r>
        <w:rPr>
          <w:rFonts w:hint="eastAsia"/>
          <w:highlight w:val="none"/>
        </w:rPr>
        <w:t>日期：  年   月   日</w:t>
      </w:r>
    </w:p>
    <w:p w14:paraId="3BCCDBE1">
      <w:pPr>
        <w:rPr>
          <w:highlight w:val="none"/>
        </w:rPr>
      </w:pPr>
    </w:p>
    <w:p w14:paraId="3D1C16C3">
      <w:pPr>
        <w:rPr>
          <w:highlight w:val="none"/>
        </w:rPr>
      </w:pPr>
    </w:p>
    <w:p w14:paraId="79A21060">
      <w:pPr>
        <w:rPr>
          <w:highlight w:val="none"/>
        </w:rPr>
      </w:pPr>
    </w:p>
    <w:p w14:paraId="595B3566">
      <w:pPr>
        <w:rPr>
          <w:highlight w:val="none"/>
        </w:rPr>
      </w:pPr>
    </w:p>
    <w:p w14:paraId="1B1C7415">
      <w:pPr>
        <w:rPr>
          <w:highlight w:val="none"/>
        </w:rPr>
      </w:pPr>
    </w:p>
    <w:p w14:paraId="2D9DFDEE">
      <w:pPr>
        <w:rPr>
          <w:highlight w:val="none"/>
        </w:rPr>
      </w:pPr>
    </w:p>
    <w:p w14:paraId="2123650F">
      <w:pPr>
        <w:rPr>
          <w:highlight w:val="none"/>
        </w:rPr>
      </w:pPr>
      <w:r>
        <w:rPr>
          <w:rFonts w:hint="eastAsia"/>
          <w:highlight w:val="none"/>
        </w:rPr>
        <w:t>附件3</w:t>
      </w:r>
    </w:p>
    <w:p w14:paraId="65E8C2DE">
      <w:pPr>
        <w:jc w:val="center"/>
        <w:rPr>
          <w:b/>
          <w:bCs/>
          <w:sz w:val="32"/>
          <w:szCs w:val="32"/>
          <w:highlight w:val="none"/>
        </w:rPr>
      </w:pPr>
      <w:r>
        <w:rPr>
          <w:rFonts w:hint="eastAsia"/>
          <w:b/>
          <w:bCs/>
          <w:sz w:val="32"/>
          <w:szCs w:val="32"/>
          <w:highlight w:val="none"/>
        </w:rPr>
        <w:t>询价报价汇总表</w:t>
      </w:r>
    </w:p>
    <w:p w14:paraId="2D88B75C">
      <w:pPr>
        <w:rPr>
          <w:rFonts w:hAnsi="Times New Roman"/>
          <w:highlight w:val="none"/>
        </w:rPr>
      </w:pPr>
    </w:p>
    <w:tbl>
      <w:tblPr>
        <w:tblStyle w:val="22"/>
        <w:tblpPr w:leftFromText="180" w:rightFromText="180" w:vertAnchor="text" w:horzAnchor="margin" w:tblpXSpec="center" w:tblpY="12"/>
        <w:tblOverlap w:val="never"/>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3210"/>
        <w:gridCol w:w="2250"/>
        <w:gridCol w:w="3329"/>
      </w:tblGrid>
      <w:tr w14:paraId="07B20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14:paraId="70EF0FCC">
            <w:pPr>
              <w:jc w:val="center"/>
              <w:rPr>
                <w:rFonts w:cs="Times New Roman"/>
                <w:highlight w:val="none"/>
              </w:rPr>
            </w:pPr>
            <w:r>
              <w:rPr>
                <w:rFonts w:hint="eastAsia" w:cs="Times New Roman"/>
                <w:highlight w:val="none"/>
              </w:rPr>
              <w:t>序号</w:t>
            </w:r>
          </w:p>
        </w:tc>
        <w:tc>
          <w:tcPr>
            <w:tcW w:w="3210" w:type="dxa"/>
            <w:tcBorders>
              <w:top w:val="single" w:color="auto" w:sz="4" w:space="0"/>
              <w:left w:val="single" w:color="auto" w:sz="4" w:space="0"/>
              <w:bottom w:val="single" w:color="auto" w:sz="4" w:space="0"/>
              <w:right w:val="single" w:color="auto" w:sz="4" w:space="0"/>
            </w:tcBorders>
            <w:vAlign w:val="center"/>
          </w:tcPr>
          <w:p w14:paraId="1E3DFAF9">
            <w:pPr>
              <w:jc w:val="center"/>
              <w:rPr>
                <w:rFonts w:cs="Times New Roman"/>
                <w:highlight w:val="none"/>
              </w:rPr>
            </w:pPr>
            <w:r>
              <w:rPr>
                <w:rFonts w:hint="eastAsia" w:cs="Times New Roman"/>
                <w:highlight w:val="none"/>
              </w:rPr>
              <w:t>项目内容</w:t>
            </w:r>
          </w:p>
        </w:tc>
        <w:tc>
          <w:tcPr>
            <w:tcW w:w="2250" w:type="dxa"/>
            <w:tcBorders>
              <w:top w:val="single" w:color="auto" w:sz="4" w:space="0"/>
              <w:left w:val="single" w:color="auto" w:sz="4" w:space="0"/>
              <w:bottom w:val="single" w:color="auto" w:sz="4" w:space="0"/>
              <w:right w:val="single" w:color="auto" w:sz="4" w:space="0"/>
            </w:tcBorders>
            <w:vAlign w:val="center"/>
          </w:tcPr>
          <w:p w14:paraId="4AD1F1A8">
            <w:pPr>
              <w:jc w:val="center"/>
              <w:rPr>
                <w:rFonts w:cs="Times New Roman"/>
                <w:highlight w:val="none"/>
              </w:rPr>
            </w:pPr>
            <w:r>
              <w:rPr>
                <w:rFonts w:hint="eastAsia" w:cs="Times New Roman"/>
                <w:highlight w:val="none"/>
              </w:rPr>
              <w:t>数量</w:t>
            </w:r>
          </w:p>
        </w:tc>
        <w:tc>
          <w:tcPr>
            <w:tcW w:w="3329" w:type="dxa"/>
            <w:tcBorders>
              <w:top w:val="single" w:color="auto" w:sz="4" w:space="0"/>
              <w:left w:val="single" w:color="auto" w:sz="4" w:space="0"/>
              <w:bottom w:val="single" w:color="auto" w:sz="4" w:space="0"/>
              <w:right w:val="single" w:color="auto" w:sz="4" w:space="0"/>
            </w:tcBorders>
            <w:vAlign w:val="center"/>
          </w:tcPr>
          <w:p w14:paraId="299D0413">
            <w:pPr>
              <w:jc w:val="center"/>
              <w:rPr>
                <w:rFonts w:cs="Times New Roman"/>
                <w:highlight w:val="none"/>
              </w:rPr>
            </w:pPr>
            <w:r>
              <w:rPr>
                <w:rFonts w:hint="eastAsia" w:cs="Times New Roman"/>
                <w:highlight w:val="none"/>
                <w:lang w:val="en-US" w:eastAsia="zh-CN"/>
              </w:rPr>
              <w:t>报价</w:t>
            </w:r>
            <w:r>
              <w:rPr>
                <w:rFonts w:hint="eastAsia" w:cs="Times New Roman"/>
                <w:highlight w:val="none"/>
              </w:rPr>
              <w:t>（元）</w:t>
            </w:r>
          </w:p>
        </w:tc>
      </w:tr>
      <w:tr w14:paraId="77E3D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14:paraId="54914638">
            <w:pPr>
              <w:jc w:val="center"/>
              <w:rPr>
                <w:rFonts w:cs="Times New Roman"/>
                <w:highlight w:val="none"/>
              </w:rPr>
            </w:pPr>
            <w:r>
              <w:rPr>
                <w:rFonts w:hint="eastAsia" w:cs="Times New Roman"/>
                <w:highlight w:val="none"/>
              </w:rPr>
              <w:t>1</w:t>
            </w:r>
          </w:p>
        </w:tc>
        <w:tc>
          <w:tcPr>
            <w:tcW w:w="3210" w:type="dxa"/>
            <w:tcBorders>
              <w:top w:val="single" w:color="auto" w:sz="4" w:space="0"/>
              <w:left w:val="single" w:color="auto" w:sz="4" w:space="0"/>
              <w:bottom w:val="single" w:color="auto" w:sz="4" w:space="0"/>
              <w:right w:val="single" w:color="auto" w:sz="4" w:space="0"/>
            </w:tcBorders>
            <w:shd w:val="clear" w:color="auto" w:fill="auto"/>
            <w:vAlign w:val="center"/>
          </w:tcPr>
          <w:p w14:paraId="643FA48A">
            <w:pPr>
              <w:jc w:val="center"/>
              <w:rPr>
                <w:rFonts w:cs="Times New Roman"/>
                <w:highlight w:val="none"/>
              </w:rPr>
            </w:pPr>
            <w:r>
              <w:rPr>
                <w:rFonts w:hint="eastAsia"/>
                <w:highlight w:val="none"/>
                <w:lang w:eastAsia="zh-CN"/>
              </w:rPr>
              <w:t>网络安全等级保护</w:t>
            </w:r>
            <w:r>
              <w:rPr>
                <w:rFonts w:hint="eastAsia"/>
                <w:highlight w:val="none"/>
              </w:rPr>
              <w:t>测评服务</w:t>
            </w:r>
          </w:p>
        </w:tc>
        <w:tc>
          <w:tcPr>
            <w:tcW w:w="2250" w:type="dxa"/>
            <w:tcBorders>
              <w:top w:val="single" w:color="auto" w:sz="4" w:space="0"/>
              <w:left w:val="nil"/>
              <w:bottom w:val="single" w:color="auto" w:sz="4" w:space="0"/>
              <w:right w:val="single" w:color="auto" w:sz="4" w:space="0"/>
            </w:tcBorders>
            <w:shd w:val="clear" w:color="auto" w:fill="auto"/>
            <w:vAlign w:val="center"/>
          </w:tcPr>
          <w:p w14:paraId="789825EF">
            <w:pPr>
              <w:jc w:val="center"/>
              <w:rPr>
                <w:rFonts w:cs="Times New Roman"/>
                <w:highlight w:val="none"/>
              </w:rPr>
            </w:pPr>
            <w:r>
              <w:rPr>
                <w:rFonts w:hint="eastAsia" w:cs="Times New Roman"/>
                <w:highlight w:val="none"/>
              </w:rPr>
              <w:t>1项</w:t>
            </w:r>
          </w:p>
        </w:tc>
        <w:tc>
          <w:tcPr>
            <w:tcW w:w="3329" w:type="dxa"/>
            <w:tcBorders>
              <w:top w:val="single" w:color="auto" w:sz="4" w:space="0"/>
              <w:left w:val="single" w:color="auto" w:sz="4" w:space="0"/>
              <w:bottom w:val="single" w:color="auto" w:sz="4" w:space="0"/>
              <w:right w:val="single" w:color="auto" w:sz="4" w:space="0"/>
            </w:tcBorders>
            <w:vAlign w:val="center"/>
          </w:tcPr>
          <w:p w14:paraId="58455BE9">
            <w:pPr>
              <w:jc w:val="center"/>
              <w:rPr>
                <w:rFonts w:cs="Times New Roman"/>
                <w:highlight w:val="none"/>
              </w:rPr>
            </w:pPr>
          </w:p>
        </w:tc>
      </w:tr>
      <w:tr w14:paraId="3747F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tcBorders>
              <w:top w:val="single" w:color="auto" w:sz="4" w:space="0"/>
              <w:left w:val="single" w:color="auto" w:sz="4" w:space="0"/>
              <w:right w:val="single" w:color="auto" w:sz="4" w:space="0"/>
            </w:tcBorders>
            <w:vAlign w:val="center"/>
          </w:tcPr>
          <w:p w14:paraId="7B3D81D1">
            <w:pPr>
              <w:jc w:val="center"/>
              <w:rPr>
                <w:rFonts w:cs="Times New Roman"/>
                <w:highlight w:val="none"/>
              </w:rPr>
            </w:pPr>
          </w:p>
        </w:tc>
        <w:tc>
          <w:tcPr>
            <w:tcW w:w="3210" w:type="dxa"/>
            <w:tcBorders>
              <w:top w:val="single" w:color="auto" w:sz="4" w:space="0"/>
              <w:left w:val="single" w:color="auto" w:sz="4" w:space="0"/>
              <w:right w:val="single" w:color="auto" w:sz="4" w:space="0"/>
            </w:tcBorders>
            <w:shd w:val="clear" w:color="auto" w:fill="auto"/>
            <w:vAlign w:val="center"/>
          </w:tcPr>
          <w:p w14:paraId="01AA3354">
            <w:pPr>
              <w:jc w:val="center"/>
              <w:rPr>
                <w:highlight w:val="none"/>
              </w:rPr>
            </w:pPr>
            <w:r>
              <w:rPr>
                <w:rFonts w:hint="eastAsia"/>
                <w:highlight w:val="none"/>
              </w:rPr>
              <w:t>报价金额（元）</w:t>
            </w:r>
          </w:p>
        </w:tc>
        <w:tc>
          <w:tcPr>
            <w:tcW w:w="5579" w:type="dxa"/>
            <w:gridSpan w:val="2"/>
            <w:tcBorders>
              <w:top w:val="single" w:color="auto" w:sz="4" w:space="0"/>
              <w:left w:val="nil"/>
              <w:right w:val="single" w:color="auto" w:sz="4" w:space="0"/>
            </w:tcBorders>
            <w:shd w:val="clear" w:color="auto" w:fill="auto"/>
            <w:vAlign w:val="center"/>
          </w:tcPr>
          <w:p w14:paraId="797FCF7D">
            <w:pPr>
              <w:rPr>
                <w:rFonts w:cs="Times New Roman"/>
                <w:highlight w:val="none"/>
                <w:u w:val="single"/>
              </w:rPr>
            </w:pPr>
            <w:r>
              <w:rPr>
                <w:rFonts w:hint="eastAsia" w:cs="Times New Roman"/>
                <w:highlight w:val="none"/>
              </w:rPr>
              <w:t>大写：</w:t>
            </w:r>
            <w:r>
              <w:rPr>
                <w:rFonts w:hint="eastAsia" w:cs="Times New Roman"/>
                <w:highlight w:val="none"/>
                <w:u w:val="single"/>
              </w:rPr>
              <w:t xml:space="preserve"> </w:t>
            </w:r>
            <w:r>
              <w:rPr>
                <w:rFonts w:cs="Times New Roman"/>
                <w:highlight w:val="none"/>
                <w:u w:val="single"/>
              </w:rPr>
              <w:t xml:space="preserve">               </w:t>
            </w:r>
            <w:r>
              <w:rPr>
                <w:rFonts w:hint="eastAsia" w:cs="Times New Roman"/>
                <w:highlight w:val="none"/>
              </w:rPr>
              <w:t>，小写：</w:t>
            </w:r>
            <w:r>
              <w:rPr>
                <w:rFonts w:hint="eastAsia" w:cs="Times New Roman"/>
                <w:highlight w:val="none"/>
                <w:u w:val="single"/>
              </w:rPr>
              <w:t xml:space="preserve"> </w:t>
            </w:r>
            <w:r>
              <w:rPr>
                <w:rFonts w:cs="Times New Roman"/>
                <w:highlight w:val="none"/>
                <w:u w:val="single"/>
              </w:rPr>
              <w:t xml:space="preserve">              </w:t>
            </w:r>
            <w:r>
              <w:rPr>
                <w:rFonts w:hint="eastAsia" w:cs="Times New Roman"/>
                <w:highlight w:val="none"/>
              </w:rPr>
              <w:t>。</w:t>
            </w:r>
          </w:p>
        </w:tc>
      </w:tr>
    </w:tbl>
    <w:p w14:paraId="5E7CF007">
      <w:pPr>
        <w:rPr>
          <w:rFonts w:hint="default" w:hAnsi="Times New Roman" w:eastAsia="宋体"/>
          <w:highlight w:val="none"/>
          <w:lang w:val="en-US" w:eastAsia="zh-CN"/>
        </w:rPr>
      </w:pPr>
      <w:r>
        <w:rPr>
          <w:rFonts w:hint="eastAsia" w:hAnsi="Times New Roman"/>
          <w:highlight w:val="none"/>
        </w:rPr>
        <w:t>注：本项目报价包含</w:t>
      </w:r>
      <w:r>
        <w:rPr>
          <w:rFonts w:hint="eastAsia" w:hAnsi="Times New Roman"/>
          <w:highlight w:val="none"/>
          <w:lang w:val="en-US" w:eastAsia="zh-CN"/>
        </w:rPr>
        <w:t>人工</w:t>
      </w:r>
      <w:r>
        <w:rPr>
          <w:rFonts w:hint="eastAsia" w:hAnsi="Times New Roman"/>
          <w:highlight w:val="none"/>
        </w:rPr>
        <w:t>服务费、</w:t>
      </w:r>
      <w:r>
        <w:rPr>
          <w:rFonts w:hint="eastAsia" w:hAnsi="Times New Roman"/>
          <w:highlight w:val="none"/>
          <w:lang w:val="en-US" w:eastAsia="zh-CN"/>
        </w:rPr>
        <w:t>技术测试、资料编制、报告出具、盖章交付、人员差旅、工具使用、内部评审、</w:t>
      </w:r>
      <w:r>
        <w:rPr>
          <w:rFonts w:hint="eastAsia" w:hAnsi="Times New Roman"/>
          <w:highlight w:val="none"/>
        </w:rPr>
        <w:t>各种规费及税金等一切税费在内</w:t>
      </w:r>
      <w:r>
        <w:rPr>
          <w:rFonts w:hint="eastAsia" w:hAnsi="Times New Roman"/>
          <w:highlight w:val="none"/>
          <w:lang w:eastAsia="zh-CN"/>
        </w:rPr>
        <w:t>，</w:t>
      </w:r>
      <w:r>
        <w:rPr>
          <w:rFonts w:hint="eastAsia" w:hAnsi="Times New Roman"/>
          <w:highlight w:val="none"/>
          <w:lang w:val="en-US" w:eastAsia="zh-CN"/>
        </w:rPr>
        <w:t>采购人不再支付任何其它费用。</w:t>
      </w:r>
    </w:p>
    <w:p w14:paraId="7A112896">
      <w:pPr>
        <w:rPr>
          <w:rFonts w:hAnsi="Times New Roman"/>
          <w:highlight w:val="none"/>
        </w:rPr>
      </w:pPr>
    </w:p>
    <w:p w14:paraId="7F4EFFD8">
      <w:pPr>
        <w:rPr>
          <w:rFonts w:hAnsi="Times New Roman"/>
          <w:highlight w:val="none"/>
        </w:rPr>
      </w:pPr>
    </w:p>
    <w:p w14:paraId="14B9FD54">
      <w:pPr>
        <w:ind w:firstLine="4080" w:firstLineChars="1700"/>
        <w:rPr>
          <w:highlight w:val="none"/>
        </w:rPr>
      </w:pPr>
      <w:r>
        <w:rPr>
          <w:rFonts w:hint="eastAsia"/>
          <w:highlight w:val="none"/>
        </w:rPr>
        <w:t>供应商：</w:t>
      </w:r>
      <w:r>
        <w:rPr>
          <w:rFonts w:hint="eastAsia"/>
          <w:highlight w:val="none"/>
          <w:u w:val="single"/>
        </w:rPr>
        <w:t xml:space="preserve">           </w:t>
      </w:r>
      <w:r>
        <w:rPr>
          <w:rFonts w:hint="eastAsia"/>
          <w:highlight w:val="none"/>
        </w:rPr>
        <w:t>（盖单位公章）</w:t>
      </w:r>
    </w:p>
    <w:p w14:paraId="3E383CBC">
      <w:pPr>
        <w:spacing w:line="300" w:lineRule="auto"/>
        <w:ind w:left="5040" w:leftChars="200" w:hanging="4560" w:hangingChars="1900"/>
        <w:rPr>
          <w:highlight w:val="none"/>
        </w:rPr>
      </w:pPr>
      <w:r>
        <w:rPr>
          <w:rFonts w:hint="eastAsia"/>
          <w:highlight w:val="none"/>
        </w:rPr>
        <w:t xml:space="preserve">                              供应商授权代表：</w:t>
      </w:r>
      <w:r>
        <w:rPr>
          <w:rFonts w:hint="eastAsia"/>
          <w:highlight w:val="none"/>
          <w:u w:val="single"/>
        </w:rPr>
        <w:t xml:space="preserve">           </w:t>
      </w:r>
      <w:r>
        <w:rPr>
          <w:rFonts w:hint="eastAsia"/>
          <w:highlight w:val="none"/>
        </w:rPr>
        <w:t xml:space="preserve">（签字或盖章）  </w:t>
      </w:r>
    </w:p>
    <w:p w14:paraId="0E7EBB23">
      <w:pPr>
        <w:spacing w:line="360" w:lineRule="auto"/>
        <w:ind w:firstLine="5040" w:firstLineChars="2100"/>
        <w:rPr>
          <w:highlight w:val="none"/>
        </w:rPr>
      </w:pPr>
      <w:r>
        <w:rPr>
          <w:rFonts w:hint="eastAsia"/>
          <w:highlight w:val="none"/>
        </w:rPr>
        <w:t>日期：   年  月  日</w:t>
      </w:r>
    </w:p>
    <w:p w14:paraId="2EDDE217">
      <w:pPr>
        <w:rPr>
          <w:highlight w:val="none"/>
        </w:rPr>
      </w:pPr>
    </w:p>
    <w:p w14:paraId="113764ED">
      <w:pPr>
        <w:rPr>
          <w:highlight w:val="none"/>
        </w:rPr>
      </w:pPr>
    </w:p>
    <w:p w14:paraId="1527800A">
      <w:pPr>
        <w:rPr>
          <w:highlight w:val="none"/>
        </w:rPr>
      </w:pPr>
    </w:p>
    <w:p w14:paraId="2767ABFE">
      <w:pPr>
        <w:rPr>
          <w:highlight w:val="none"/>
        </w:rPr>
      </w:pPr>
    </w:p>
    <w:p w14:paraId="4F3DF721">
      <w:pPr>
        <w:rPr>
          <w:highlight w:val="none"/>
        </w:rPr>
      </w:pPr>
    </w:p>
    <w:p w14:paraId="173E8E3F">
      <w:pPr>
        <w:rPr>
          <w:highlight w:val="none"/>
        </w:rPr>
      </w:pPr>
    </w:p>
    <w:p w14:paraId="55E3D7E2">
      <w:pPr>
        <w:rPr>
          <w:highlight w:val="none"/>
        </w:rPr>
      </w:pPr>
    </w:p>
    <w:p w14:paraId="20DDE081">
      <w:pPr>
        <w:rPr>
          <w:highlight w:val="none"/>
        </w:rPr>
      </w:pPr>
    </w:p>
    <w:p w14:paraId="7AFA81D0">
      <w:pPr>
        <w:rPr>
          <w:highlight w:val="none"/>
        </w:rPr>
      </w:pPr>
    </w:p>
    <w:p w14:paraId="7752F74E">
      <w:pPr>
        <w:rPr>
          <w:highlight w:val="none"/>
        </w:rPr>
      </w:pPr>
    </w:p>
    <w:p w14:paraId="44E65728">
      <w:pPr>
        <w:rPr>
          <w:highlight w:val="none"/>
        </w:rPr>
      </w:pPr>
    </w:p>
    <w:p w14:paraId="53AA820E">
      <w:pPr>
        <w:rPr>
          <w:highlight w:val="none"/>
        </w:rPr>
      </w:pPr>
    </w:p>
    <w:p w14:paraId="4F4C3BD6">
      <w:pPr>
        <w:rPr>
          <w:highlight w:val="none"/>
        </w:rPr>
      </w:pPr>
    </w:p>
    <w:p w14:paraId="3AA05809">
      <w:pPr>
        <w:rPr>
          <w:highlight w:val="none"/>
        </w:rPr>
      </w:pPr>
    </w:p>
    <w:p w14:paraId="345E1C33">
      <w:pPr>
        <w:rPr>
          <w:highlight w:val="none"/>
        </w:rPr>
      </w:pPr>
    </w:p>
    <w:p w14:paraId="196C9C95">
      <w:pPr>
        <w:rPr>
          <w:highlight w:val="none"/>
        </w:rPr>
      </w:pPr>
    </w:p>
    <w:p w14:paraId="76BFC19D">
      <w:pPr>
        <w:rPr>
          <w:highlight w:val="none"/>
        </w:rPr>
        <w:sectPr>
          <w:headerReference r:id="rId8" w:type="default"/>
          <w:footerReference r:id="rId9" w:type="default"/>
          <w:pgSz w:w="11906" w:h="16838"/>
          <w:pgMar w:top="1440" w:right="1080" w:bottom="1440" w:left="1080" w:header="851" w:footer="567" w:gutter="0"/>
          <w:cols w:space="425" w:num="1"/>
          <w:docGrid w:type="lines" w:linePitch="326" w:charSpace="0"/>
        </w:sectPr>
      </w:pPr>
    </w:p>
    <w:p w14:paraId="2FC703F0">
      <w:pPr>
        <w:rPr>
          <w:highlight w:val="none"/>
        </w:rPr>
      </w:pPr>
      <w:r>
        <w:rPr>
          <w:rFonts w:hint="eastAsia"/>
          <w:highlight w:val="none"/>
        </w:rPr>
        <w:t xml:space="preserve">附件4                    </w:t>
      </w:r>
    </w:p>
    <w:p w14:paraId="00EED693">
      <w:pPr>
        <w:jc w:val="center"/>
        <w:rPr>
          <w:b/>
          <w:bCs/>
          <w:sz w:val="32"/>
          <w:szCs w:val="32"/>
          <w:highlight w:val="none"/>
        </w:rPr>
      </w:pPr>
      <w:r>
        <w:rPr>
          <w:rFonts w:hint="eastAsia"/>
          <w:b/>
          <w:bCs/>
          <w:sz w:val="32"/>
          <w:szCs w:val="32"/>
          <w:highlight w:val="none"/>
        </w:rPr>
        <w:t>资格性和符合性审查表</w:t>
      </w:r>
    </w:p>
    <w:tbl>
      <w:tblPr>
        <w:tblStyle w:val="22"/>
        <w:tblW w:w="9781" w:type="dxa"/>
        <w:jc w:val="center"/>
        <w:tblLayout w:type="fixed"/>
        <w:tblCellMar>
          <w:top w:w="0" w:type="dxa"/>
          <w:left w:w="0" w:type="dxa"/>
          <w:bottom w:w="0" w:type="dxa"/>
          <w:right w:w="0" w:type="dxa"/>
        </w:tblCellMar>
      </w:tblPr>
      <w:tblGrid>
        <w:gridCol w:w="3753"/>
        <w:gridCol w:w="6028"/>
      </w:tblGrid>
      <w:tr w14:paraId="54D884D8">
        <w:tblPrEx>
          <w:tblCellMar>
            <w:top w:w="0" w:type="dxa"/>
            <w:left w:w="0" w:type="dxa"/>
            <w:bottom w:w="0" w:type="dxa"/>
            <w:right w:w="0" w:type="dxa"/>
          </w:tblCellMar>
        </w:tblPrEx>
        <w:trPr>
          <w:trHeight w:val="195" w:hRule="atLeast"/>
          <w:jc w:val="center"/>
        </w:trPr>
        <w:tc>
          <w:tcPr>
            <w:tcW w:w="9781" w:type="dxa"/>
            <w:gridSpan w:val="2"/>
            <w:tcBorders>
              <w:top w:val="nil"/>
              <w:left w:val="nil"/>
              <w:bottom w:val="nil"/>
              <w:right w:val="nil"/>
            </w:tcBorders>
            <w:tcMar>
              <w:top w:w="15" w:type="dxa"/>
              <w:left w:w="15" w:type="dxa"/>
              <w:right w:w="15" w:type="dxa"/>
            </w:tcMar>
            <w:vAlign w:val="center"/>
          </w:tcPr>
          <w:p w14:paraId="65AA6459">
            <w:pPr>
              <w:rPr>
                <w:highlight w:val="none"/>
              </w:rPr>
            </w:pPr>
            <w:r>
              <w:rPr>
                <w:rFonts w:hint="eastAsia"/>
                <w:highlight w:val="none"/>
              </w:rPr>
              <w:t>评审小组按照下列指标对各响应人进行资格性和符合性审查。</w:t>
            </w:r>
          </w:p>
        </w:tc>
      </w:tr>
      <w:tr w14:paraId="2BB24B8F">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6D47F6">
            <w:pPr>
              <w:jc w:val="center"/>
              <w:rPr>
                <w:highlight w:val="none"/>
              </w:rPr>
            </w:pPr>
            <w:r>
              <w:rPr>
                <w:rFonts w:hint="eastAsia"/>
                <w:highlight w:val="none"/>
              </w:rPr>
              <w:t>评审因素</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6E54A7">
            <w:pPr>
              <w:jc w:val="center"/>
              <w:rPr>
                <w:highlight w:val="none"/>
              </w:rPr>
            </w:pPr>
            <w:r>
              <w:rPr>
                <w:rFonts w:hint="eastAsia"/>
                <w:highlight w:val="none"/>
              </w:rPr>
              <w:t>评审标准</w:t>
            </w:r>
          </w:p>
        </w:tc>
      </w:tr>
      <w:tr w14:paraId="34106E9E">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096BF6">
            <w:pPr>
              <w:jc w:val="center"/>
              <w:rPr>
                <w:highlight w:val="none"/>
              </w:rPr>
            </w:pPr>
            <w:r>
              <w:rPr>
                <w:rFonts w:hint="eastAsia"/>
                <w:highlight w:val="none"/>
              </w:rPr>
              <w:t>营业执照</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7FB35A">
            <w:pPr>
              <w:jc w:val="center"/>
              <w:rPr>
                <w:highlight w:val="none"/>
              </w:rPr>
            </w:pPr>
            <w:r>
              <w:rPr>
                <w:rFonts w:hint="eastAsia"/>
                <w:highlight w:val="none"/>
              </w:rPr>
              <w:t>合法有效</w:t>
            </w:r>
          </w:p>
        </w:tc>
      </w:tr>
      <w:tr w14:paraId="05BAEF8D">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708507">
            <w:pPr>
              <w:jc w:val="center"/>
              <w:rPr>
                <w:highlight w:val="none"/>
              </w:rPr>
            </w:pPr>
            <w:r>
              <w:rPr>
                <w:rFonts w:hint="eastAsia"/>
                <w:highlight w:val="none"/>
              </w:rPr>
              <w:t>承诺书</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AC5161">
            <w:pPr>
              <w:jc w:val="center"/>
              <w:rPr>
                <w:highlight w:val="none"/>
              </w:rPr>
            </w:pPr>
            <w:r>
              <w:rPr>
                <w:rFonts w:hint="eastAsia"/>
                <w:highlight w:val="none"/>
              </w:rPr>
              <w:t>符合询价文件要求</w:t>
            </w:r>
          </w:p>
        </w:tc>
      </w:tr>
      <w:tr w14:paraId="2D58EB32">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84AAB1">
            <w:pPr>
              <w:jc w:val="center"/>
              <w:rPr>
                <w:rFonts w:cs="Times New Roman"/>
                <w:bCs/>
                <w:highlight w:val="none"/>
              </w:rPr>
            </w:pPr>
            <w:r>
              <w:rPr>
                <w:rFonts w:hint="eastAsia"/>
                <w:highlight w:val="none"/>
              </w:rPr>
              <w:t>法定代表人授权委托书</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954A87">
            <w:pPr>
              <w:jc w:val="center"/>
              <w:rPr>
                <w:highlight w:val="none"/>
              </w:rPr>
            </w:pPr>
            <w:r>
              <w:rPr>
                <w:rFonts w:hint="eastAsia"/>
                <w:highlight w:val="none"/>
              </w:rPr>
              <w:t>合法有效</w:t>
            </w:r>
          </w:p>
        </w:tc>
      </w:tr>
      <w:tr w14:paraId="64878DA4">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43A1F3">
            <w:pPr>
              <w:jc w:val="center"/>
              <w:rPr>
                <w:highlight w:val="none"/>
              </w:rPr>
            </w:pPr>
            <w:r>
              <w:rPr>
                <w:rFonts w:hint="eastAsia"/>
                <w:highlight w:val="none"/>
              </w:rPr>
              <w:t>法定代表人身份证明</w:t>
            </w:r>
          </w:p>
          <w:p w14:paraId="08A8B761">
            <w:pPr>
              <w:jc w:val="center"/>
              <w:rPr>
                <w:highlight w:val="none"/>
              </w:rPr>
            </w:pPr>
            <w:r>
              <w:rPr>
                <w:rFonts w:hint="eastAsia"/>
                <w:highlight w:val="none"/>
              </w:rPr>
              <w:t>授权委托人身份证明</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8FBE62">
            <w:pPr>
              <w:jc w:val="center"/>
              <w:rPr>
                <w:highlight w:val="none"/>
              </w:rPr>
            </w:pPr>
            <w:r>
              <w:rPr>
                <w:rFonts w:hint="eastAsia"/>
                <w:highlight w:val="none"/>
              </w:rPr>
              <w:t>合法有效</w:t>
            </w:r>
          </w:p>
        </w:tc>
      </w:tr>
      <w:tr w14:paraId="6BDECBF0">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51B6D4">
            <w:pPr>
              <w:jc w:val="center"/>
              <w:rPr>
                <w:highlight w:val="none"/>
              </w:rPr>
            </w:pPr>
            <w:bookmarkStart w:id="29" w:name="_Hlk183722562"/>
            <w:r>
              <w:rPr>
                <w:rFonts w:hint="eastAsia"/>
                <w:highlight w:val="none"/>
              </w:rPr>
              <w:t>信用状况</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DFAC39">
            <w:pPr>
              <w:jc w:val="center"/>
              <w:rPr>
                <w:highlight w:val="none"/>
              </w:rPr>
            </w:pPr>
            <w:r>
              <w:rPr>
                <w:rFonts w:hint="eastAsia"/>
                <w:highlight w:val="none"/>
              </w:rPr>
              <w:t>符合询价文件要求</w:t>
            </w:r>
          </w:p>
        </w:tc>
      </w:tr>
      <w:tr w14:paraId="2961B672">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42B018">
            <w:pPr>
              <w:jc w:val="center"/>
              <w:rPr>
                <w:highlight w:val="none"/>
              </w:rPr>
            </w:pPr>
            <w:r>
              <w:rPr>
                <w:rFonts w:hint="eastAsia"/>
                <w:highlight w:val="none"/>
              </w:rPr>
              <w:t>偏离表</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6A76F0">
            <w:pPr>
              <w:jc w:val="center"/>
              <w:rPr>
                <w:highlight w:val="none"/>
              </w:rPr>
            </w:pPr>
            <w:r>
              <w:rPr>
                <w:rFonts w:hint="eastAsia"/>
                <w:highlight w:val="none"/>
              </w:rPr>
              <w:t>符合询价文件要求</w:t>
            </w:r>
          </w:p>
        </w:tc>
      </w:tr>
      <w:bookmarkEnd w:id="29"/>
    </w:tbl>
    <w:p w14:paraId="24A1046A">
      <w:pPr>
        <w:rPr>
          <w:highlight w:val="none"/>
        </w:rPr>
      </w:pPr>
    </w:p>
    <w:p w14:paraId="5033178B">
      <w:pPr>
        <w:rPr>
          <w:highlight w:val="none"/>
        </w:rPr>
      </w:pPr>
    </w:p>
    <w:p w14:paraId="531B22CF">
      <w:pPr>
        <w:rPr>
          <w:highlight w:val="none"/>
        </w:rPr>
      </w:pPr>
    </w:p>
    <w:p w14:paraId="53134DF1">
      <w:pPr>
        <w:rPr>
          <w:highlight w:val="none"/>
        </w:rPr>
      </w:pPr>
    </w:p>
    <w:p w14:paraId="26A20239">
      <w:pPr>
        <w:rPr>
          <w:highlight w:val="none"/>
        </w:rPr>
      </w:pPr>
    </w:p>
    <w:p w14:paraId="303C1F39">
      <w:pPr>
        <w:rPr>
          <w:highlight w:val="none"/>
        </w:rPr>
      </w:pPr>
    </w:p>
    <w:p w14:paraId="0D86915F">
      <w:pPr>
        <w:rPr>
          <w:highlight w:val="none"/>
        </w:rPr>
      </w:pPr>
    </w:p>
    <w:p w14:paraId="7E839DCF">
      <w:pPr>
        <w:rPr>
          <w:highlight w:val="none"/>
        </w:rPr>
      </w:pPr>
    </w:p>
    <w:p w14:paraId="1A4A0629">
      <w:pPr>
        <w:rPr>
          <w:highlight w:val="none"/>
        </w:rPr>
      </w:pPr>
    </w:p>
    <w:p w14:paraId="24DB2564">
      <w:pPr>
        <w:rPr>
          <w:highlight w:val="none"/>
        </w:rPr>
      </w:pPr>
    </w:p>
    <w:p w14:paraId="063646A6">
      <w:pPr>
        <w:rPr>
          <w:highlight w:val="none"/>
        </w:rPr>
      </w:pPr>
    </w:p>
    <w:p w14:paraId="6B40EF32">
      <w:pPr>
        <w:rPr>
          <w:highlight w:val="none"/>
        </w:rPr>
      </w:pPr>
    </w:p>
    <w:p w14:paraId="35254767">
      <w:pPr>
        <w:rPr>
          <w:highlight w:val="none"/>
        </w:rPr>
      </w:pPr>
    </w:p>
    <w:p w14:paraId="7231062B">
      <w:pPr>
        <w:pStyle w:val="4"/>
        <w:spacing w:before="0" w:after="0" w:line="240" w:lineRule="auto"/>
        <w:rPr>
          <w:rFonts w:ascii="宋体" w:hAnsi="宋体" w:eastAsia="宋体" w:cs="宋体"/>
          <w:szCs w:val="28"/>
          <w:highlight w:val="none"/>
        </w:rPr>
      </w:pPr>
      <w:r>
        <w:rPr>
          <w:rFonts w:hint="eastAsia" w:ascii="宋体" w:hAnsi="宋体" w:eastAsia="宋体" w:cstheme="minorBidi"/>
          <w:b w:val="0"/>
          <w:bCs w:val="0"/>
          <w:sz w:val="24"/>
          <w:szCs w:val="28"/>
          <w:highlight w:val="none"/>
        </w:rPr>
        <w:t xml:space="preserve">附件5 </w:t>
      </w:r>
      <w:r>
        <w:rPr>
          <w:rFonts w:hint="eastAsia" w:cs="宋体"/>
          <w:szCs w:val="28"/>
          <w:highlight w:val="none"/>
        </w:rPr>
        <w:t xml:space="preserve">              </w:t>
      </w:r>
      <w:r>
        <w:rPr>
          <w:rFonts w:hint="eastAsia" w:ascii="宋体" w:hAnsi="宋体" w:eastAsia="宋体" w:cs="宋体"/>
          <w:szCs w:val="28"/>
          <w:highlight w:val="none"/>
        </w:rPr>
        <w:t xml:space="preserve">  </w:t>
      </w:r>
    </w:p>
    <w:p w14:paraId="5DC691F6">
      <w:pPr>
        <w:tabs>
          <w:tab w:val="left" w:pos="0"/>
          <w:tab w:val="left" w:pos="420"/>
        </w:tabs>
        <w:spacing w:line="240" w:lineRule="auto"/>
        <w:jc w:val="center"/>
        <w:rPr>
          <w:rFonts w:cs="宋体"/>
          <w:b/>
          <w:bCs/>
          <w:sz w:val="28"/>
          <w:szCs w:val="28"/>
          <w:highlight w:val="none"/>
        </w:rPr>
      </w:pPr>
      <w:r>
        <w:rPr>
          <w:rFonts w:hint="eastAsia" w:cs="宋体"/>
          <w:b/>
          <w:bCs/>
          <w:sz w:val="28"/>
          <w:szCs w:val="28"/>
          <w:highlight w:val="none"/>
        </w:rPr>
        <w:t>偏离表</w:t>
      </w:r>
    </w:p>
    <w:p w14:paraId="25DA6B67">
      <w:pPr>
        <w:ind w:firstLine="420"/>
        <w:rPr>
          <w:rFonts w:hint="eastAsia" w:eastAsia="宋体" w:cs="宋体"/>
          <w:highlight w:val="none"/>
          <w:lang w:eastAsia="zh-CN"/>
        </w:rPr>
      </w:pPr>
      <w:r>
        <w:rPr>
          <w:rFonts w:hint="eastAsia" w:cs="宋体"/>
          <w:highlight w:val="none"/>
        </w:rPr>
        <w:t>项目编号：</w:t>
      </w:r>
      <w:r>
        <w:rPr>
          <w:rFonts w:cs="宋体"/>
          <w:highlight w:val="none"/>
        </w:rPr>
        <w:t>XYGL-CGXJ-2026-0</w:t>
      </w:r>
      <w:r>
        <w:rPr>
          <w:rFonts w:hint="eastAsia" w:cs="宋体"/>
          <w:highlight w:val="none"/>
          <w:lang w:val="en-US" w:eastAsia="zh-CN"/>
        </w:rPr>
        <w:t>7</w:t>
      </w:r>
    </w:p>
    <w:tbl>
      <w:tblPr>
        <w:tblStyle w:val="22"/>
        <w:tblW w:w="9750" w:type="dxa"/>
        <w:jc w:val="center"/>
        <w:tblBorders>
          <w:top w:val="double" w:color="auto" w:sz="6" w:space="0"/>
          <w:left w:val="double" w:color="auto" w:sz="6" w:space="0"/>
          <w:bottom w:val="double" w:color="auto" w:sz="6" w:space="0"/>
          <w:right w:val="double" w:color="auto" w:sz="6" w:space="0"/>
          <w:insideH w:val="none" w:color="auto" w:sz="0" w:space="0"/>
          <w:insideV w:val="none" w:color="auto" w:sz="0" w:space="0"/>
        </w:tblBorders>
        <w:tblLayout w:type="fixed"/>
        <w:tblCellMar>
          <w:top w:w="0" w:type="dxa"/>
          <w:left w:w="108" w:type="dxa"/>
          <w:bottom w:w="0" w:type="dxa"/>
          <w:right w:w="108" w:type="dxa"/>
        </w:tblCellMar>
      </w:tblPr>
      <w:tblGrid>
        <w:gridCol w:w="712"/>
        <w:gridCol w:w="900"/>
        <w:gridCol w:w="2340"/>
        <w:gridCol w:w="1620"/>
        <w:gridCol w:w="1260"/>
        <w:gridCol w:w="2918"/>
      </w:tblGrid>
      <w:tr w14:paraId="043CB2DD">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414" w:hRule="atLeast"/>
          <w:jc w:val="center"/>
        </w:trPr>
        <w:tc>
          <w:tcPr>
            <w:tcW w:w="712" w:type="dxa"/>
            <w:tcBorders>
              <w:top w:val="double" w:color="000000" w:sz="6" w:space="0"/>
              <w:left w:val="double" w:color="000000" w:sz="6" w:space="0"/>
              <w:bottom w:val="single" w:color="000000" w:sz="6" w:space="0"/>
              <w:right w:val="single" w:color="000000" w:sz="6" w:space="0"/>
            </w:tcBorders>
            <w:vAlign w:val="center"/>
          </w:tcPr>
          <w:p w14:paraId="47570A83">
            <w:pPr>
              <w:rPr>
                <w:rFonts w:cs="宋体"/>
                <w:caps/>
                <w:highlight w:val="none"/>
              </w:rPr>
            </w:pPr>
            <w:r>
              <w:rPr>
                <w:rFonts w:hint="eastAsia" w:cs="宋体"/>
                <w:caps/>
                <w:highlight w:val="none"/>
              </w:rPr>
              <w:t>序号</w:t>
            </w:r>
          </w:p>
        </w:tc>
        <w:tc>
          <w:tcPr>
            <w:tcW w:w="900" w:type="dxa"/>
            <w:tcBorders>
              <w:top w:val="double" w:color="000000" w:sz="6" w:space="0"/>
              <w:left w:val="single" w:color="000000" w:sz="6" w:space="0"/>
              <w:bottom w:val="single" w:color="000000" w:sz="6" w:space="0"/>
              <w:right w:val="single" w:color="000000" w:sz="6" w:space="0"/>
            </w:tcBorders>
            <w:vAlign w:val="center"/>
          </w:tcPr>
          <w:p w14:paraId="713B10FD">
            <w:pPr>
              <w:rPr>
                <w:rFonts w:cs="宋体"/>
                <w:caps/>
                <w:highlight w:val="none"/>
              </w:rPr>
            </w:pPr>
            <w:r>
              <w:rPr>
                <w:rFonts w:hint="eastAsia" w:cs="宋体"/>
                <w:caps/>
                <w:highlight w:val="none"/>
              </w:rPr>
              <w:t>偏离</w:t>
            </w:r>
          </w:p>
          <w:p w14:paraId="0207AC1B">
            <w:pPr>
              <w:rPr>
                <w:rFonts w:cs="宋体"/>
                <w:caps/>
                <w:highlight w:val="none"/>
              </w:rPr>
            </w:pPr>
            <w:r>
              <w:rPr>
                <w:rFonts w:hint="eastAsia" w:cs="宋体"/>
                <w:caps/>
                <w:highlight w:val="none"/>
              </w:rPr>
              <w:t>内容</w:t>
            </w:r>
          </w:p>
        </w:tc>
        <w:tc>
          <w:tcPr>
            <w:tcW w:w="2340" w:type="dxa"/>
            <w:tcBorders>
              <w:top w:val="double" w:color="000000" w:sz="6" w:space="0"/>
              <w:left w:val="single" w:color="000000" w:sz="6" w:space="0"/>
              <w:bottom w:val="single" w:color="000000" w:sz="6" w:space="0"/>
              <w:right w:val="single" w:color="000000" w:sz="6" w:space="0"/>
            </w:tcBorders>
            <w:vAlign w:val="center"/>
          </w:tcPr>
          <w:p w14:paraId="7B623463">
            <w:pPr>
              <w:jc w:val="center"/>
              <w:rPr>
                <w:rFonts w:cs="宋体"/>
                <w:caps/>
                <w:highlight w:val="none"/>
              </w:rPr>
            </w:pPr>
            <w:bookmarkStart w:id="30" w:name="_Hlk146520213"/>
            <w:r>
              <w:rPr>
                <w:rFonts w:hint="eastAsia" w:cs="宋体"/>
                <w:highlight w:val="none"/>
              </w:rPr>
              <w:t>询价文件</w:t>
            </w:r>
            <w:bookmarkEnd w:id="30"/>
            <w:r>
              <w:rPr>
                <w:rFonts w:hint="eastAsia" w:cs="宋体"/>
                <w:highlight w:val="none"/>
              </w:rPr>
              <w:t>（含询价文件</w:t>
            </w:r>
            <w:r>
              <w:rPr>
                <w:rFonts w:hint="eastAsia" w:cs="宋体"/>
                <w:kern w:val="0"/>
                <w:highlight w:val="none"/>
              </w:rPr>
              <w:t>的澄清或者修改</w:t>
            </w:r>
            <w:r>
              <w:rPr>
                <w:rFonts w:hint="eastAsia" w:cs="宋体"/>
                <w:highlight w:val="none"/>
              </w:rPr>
              <w:t>）要求</w:t>
            </w:r>
          </w:p>
        </w:tc>
        <w:tc>
          <w:tcPr>
            <w:tcW w:w="1620" w:type="dxa"/>
            <w:tcBorders>
              <w:top w:val="double" w:color="000000" w:sz="6" w:space="0"/>
              <w:left w:val="single" w:color="000000" w:sz="6" w:space="0"/>
              <w:bottom w:val="single" w:color="000000" w:sz="6" w:space="0"/>
              <w:right w:val="single" w:color="000000" w:sz="6" w:space="0"/>
            </w:tcBorders>
            <w:vAlign w:val="center"/>
          </w:tcPr>
          <w:p w14:paraId="0180BD19">
            <w:pPr>
              <w:jc w:val="center"/>
              <w:rPr>
                <w:rFonts w:cs="宋体"/>
                <w:highlight w:val="none"/>
              </w:rPr>
            </w:pPr>
            <w:r>
              <w:rPr>
                <w:rFonts w:hint="eastAsia" w:cs="宋体"/>
                <w:highlight w:val="none"/>
              </w:rPr>
              <w:t>响应文件中</w:t>
            </w:r>
          </w:p>
          <w:p w14:paraId="42E30754">
            <w:pPr>
              <w:jc w:val="center"/>
              <w:rPr>
                <w:rFonts w:cs="宋体"/>
                <w:caps/>
                <w:highlight w:val="none"/>
              </w:rPr>
            </w:pPr>
            <w:r>
              <w:rPr>
                <w:rFonts w:hint="eastAsia" w:cs="宋体"/>
                <w:highlight w:val="none"/>
              </w:rPr>
              <w:t>的内容</w:t>
            </w:r>
          </w:p>
        </w:tc>
        <w:tc>
          <w:tcPr>
            <w:tcW w:w="1260" w:type="dxa"/>
            <w:tcBorders>
              <w:top w:val="double" w:color="000000" w:sz="6" w:space="0"/>
              <w:left w:val="single" w:color="000000" w:sz="6" w:space="0"/>
              <w:bottom w:val="single" w:color="000000" w:sz="6" w:space="0"/>
              <w:right w:val="single" w:color="000000" w:sz="6" w:space="0"/>
            </w:tcBorders>
            <w:vAlign w:val="center"/>
          </w:tcPr>
          <w:p w14:paraId="1A9CF18B">
            <w:pPr>
              <w:rPr>
                <w:rFonts w:cs="宋体"/>
                <w:caps/>
                <w:highlight w:val="none"/>
              </w:rPr>
            </w:pPr>
            <w:r>
              <w:rPr>
                <w:rFonts w:hint="eastAsia" w:cs="宋体"/>
                <w:caps/>
                <w:highlight w:val="none"/>
              </w:rPr>
              <w:t>（正/负/无）偏离</w:t>
            </w:r>
          </w:p>
        </w:tc>
        <w:tc>
          <w:tcPr>
            <w:tcW w:w="2918" w:type="dxa"/>
            <w:tcBorders>
              <w:top w:val="double" w:color="000000" w:sz="6" w:space="0"/>
              <w:left w:val="single" w:color="000000" w:sz="6" w:space="0"/>
              <w:bottom w:val="single" w:color="000000" w:sz="6" w:space="0"/>
              <w:right w:val="double" w:color="000000" w:sz="6" w:space="0"/>
            </w:tcBorders>
            <w:vAlign w:val="center"/>
          </w:tcPr>
          <w:p w14:paraId="11EB2024">
            <w:pPr>
              <w:ind w:firstLine="420"/>
              <w:jc w:val="center"/>
              <w:rPr>
                <w:rFonts w:cs="宋体"/>
                <w:caps/>
                <w:highlight w:val="none"/>
              </w:rPr>
            </w:pPr>
            <w:r>
              <w:rPr>
                <w:rFonts w:hint="eastAsia" w:cs="宋体"/>
                <w:caps/>
                <w:highlight w:val="none"/>
              </w:rPr>
              <w:t>说明</w:t>
            </w:r>
          </w:p>
        </w:tc>
      </w:tr>
      <w:tr w14:paraId="2C37CCE6">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27A67B17">
            <w:pPr>
              <w:jc w:val="center"/>
              <w:rPr>
                <w:rFonts w:cs="宋体"/>
                <w:caps/>
                <w:highlight w:val="none"/>
              </w:rPr>
            </w:pPr>
            <w:r>
              <w:rPr>
                <w:rFonts w:hint="eastAsia" w:cs="宋体"/>
                <w:caps/>
                <w:highlight w:val="none"/>
              </w:rPr>
              <w:t>1</w:t>
            </w:r>
          </w:p>
        </w:tc>
        <w:tc>
          <w:tcPr>
            <w:tcW w:w="900" w:type="dxa"/>
            <w:tcBorders>
              <w:top w:val="single" w:color="000000" w:sz="6" w:space="0"/>
              <w:left w:val="single" w:color="000000" w:sz="6" w:space="0"/>
              <w:bottom w:val="single" w:color="000000" w:sz="6" w:space="0"/>
              <w:right w:val="single" w:color="000000" w:sz="6" w:space="0"/>
            </w:tcBorders>
            <w:vAlign w:val="center"/>
          </w:tcPr>
          <w:p w14:paraId="38CCDAAD">
            <w:pPr>
              <w:ind w:firstLine="420"/>
              <w:jc w:val="center"/>
              <w:rPr>
                <w:rFonts w:cs="宋体"/>
                <w:caps/>
                <w:highlight w:val="none"/>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25EDF6F7">
            <w:pPr>
              <w:ind w:firstLine="420"/>
              <w:jc w:val="center"/>
              <w:rPr>
                <w:rFonts w:cs="宋体"/>
                <w:caps/>
                <w:highlight w:val="none"/>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35282C96">
            <w:pPr>
              <w:ind w:firstLine="420"/>
              <w:jc w:val="center"/>
              <w:rPr>
                <w:rFonts w:cs="宋体"/>
                <w:caps/>
                <w:highlight w:val="none"/>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61433B93">
            <w:pPr>
              <w:ind w:firstLine="420"/>
              <w:jc w:val="center"/>
              <w:rPr>
                <w:rFonts w:cs="宋体"/>
                <w:caps/>
                <w:highlight w:val="none"/>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6B51625F">
            <w:pPr>
              <w:ind w:firstLine="420"/>
              <w:jc w:val="center"/>
              <w:rPr>
                <w:rFonts w:cs="宋体"/>
                <w:caps/>
                <w:highlight w:val="none"/>
              </w:rPr>
            </w:pPr>
          </w:p>
        </w:tc>
      </w:tr>
      <w:tr w14:paraId="0483753C">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73BC6D17">
            <w:pPr>
              <w:ind w:firstLine="420"/>
              <w:jc w:val="center"/>
              <w:rPr>
                <w:rFonts w:cs="宋体"/>
                <w:highlight w:val="none"/>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1EB20DE2">
            <w:pPr>
              <w:ind w:firstLine="420"/>
              <w:jc w:val="center"/>
              <w:rPr>
                <w:rFonts w:cs="宋体"/>
                <w:highlight w:val="none"/>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2FCB5AC3">
            <w:pPr>
              <w:ind w:firstLine="420"/>
              <w:jc w:val="center"/>
              <w:rPr>
                <w:rFonts w:cs="宋体"/>
                <w:highlight w:val="none"/>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2765C581">
            <w:pPr>
              <w:ind w:firstLine="420"/>
              <w:jc w:val="center"/>
              <w:rPr>
                <w:rFonts w:cs="宋体"/>
                <w:highlight w:val="none"/>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0656B777">
            <w:pPr>
              <w:ind w:firstLine="420"/>
              <w:jc w:val="center"/>
              <w:rPr>
                <w:rFonts w:cs="宋体"/>
                <w:highlight w:val="none"/>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47C8FC4A">
            <w:pPr>
              <w:ind w:firstLine="420"/>
              <w:jc w:val="center"/>
              <w:rPr>
                <w:rFonts w:cs="宋体"/>
                <w:highlight w:val="none"/>
              </w:rPr>
            </w:pPr>
          </w:p>
        </w:tc>
      </w:tr>
      <w:tr w14:paraId="779CB302">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423523D0">
            <w:pPr>
              <w:ind w:firstLine="420"/>
              <w:jc w:val="center"/>
              <w:rPr>
                <w:rFonts w:cs="宋体"/>
                <w:highlight w:val="none"/>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0BABB211">
            <w:pPr>
              <w:ind w:firstLine="420"/>
              <w:jc w:val="center"/>
              <w:rPr>
                <w:rFonts w:cs="宋体"/>
                <w:highlight w:val="none"/>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54DADEF0">
            <w:pPr>
              <w:ind w:firstLine="420"/>
              <w:jc w:val="center"/>
              <w:rPr>
                <w:rFonts w:cs="宋体"/>
                <w:highlight w:val="none"/>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6BA76FD5">
            <w:pPr>
              <w:ind w:firstLine="420"/>
              <w:jc w:val="center"/>
              <w:rPr>
                <w:rFonts w:cs="宋体"/>
                <w:highlight w:val="none"/>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117A25A2">
            <w:pPr>
              <w:ind w:firstLine="420"/>
              <w:jc w:val="center"/>
              <w:rPr>
                <w:rFonts w:cs="宋体"/>
                <w:highlight w:val="none"/>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16027705">
            <w:pPr>
              <w:ind w:firstLine="420"/>
              <w:jc w:val="center"/>
              <w:rPr>
                <w:rFonts w:cs="宋体"/>
                <w:highlight w:val="none"/>
              </w:rPr>
            </w:pPr>
          </w:p>
        </w:tc>
      </w:tr>
      <w:tr w14:paraId="6D556FB1">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518C5CC5">
            <w:pPr>
              <w:ind w:firstLine="420"/>
              <w:jc w:val="center"/>
              <w:rPr>
                <w:rFonts w:cs="宋体"/>
                <w:highlight w:val="none"/>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10CFD3F3">
            <w:pPr>
              <w:ind w:firstLine="420"/>
              <w:jc w:val="center"/>
              <w:rPr>
                <w:rFonts w:cs="宋体"/>
                <w:highlight w:val="none"/>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1002D7B7">
            <w:pPr>
              <w:ind w:firstLine="420"/>
              <w:jc w:val="center"/>
              <w:rPr>
                <w:rFonts w:cs="宋体"/>
                <w:highlight w:val="none"/>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581A3111">
            <w:pPr>
              <w:ind w:firstLine="420"/>
              <w:jc w:val="center"/>
              <w:rPr>
                <w:rFonts w:cs="宋体"/>
                <w:highlight w:val="none"/>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7FD92BBE">
            <w:pPr>
              <w:ind w:firstLine="420"/>
              <w:jc w:val="center"/>
              <w:rPr>
                <w:rFonts w:cs="宋体"/>
                <w:highlight w:val="none"/>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49701EAB">
            <w:pPr>
              <w:ind w:firstLine="420"/>
              <w:jc w:val="center"/>
              <w:rPr>
                <w:rFonts w:cs="宋体"/>
                <w:highlight w:val="none"/>
              </w:rPr>
            </w:pPr>
          </w:p>
        </w:tc>
      </w:tr>
      <w:tr w14:paraId="1515E5DC">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01AAD6E2">
            <w:pPr>
              <w:ind w:firstLine="420"/>
              <w:jc w:val="center"/>
              <w:rPr>
                <w:rFonts w:cs="宋体"/>
                <w:highlight w:val="none"/>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12026011">
            <w:pPr>
              <w:ind w:firstLine="420"/>
              <w:jc w:val="center"/>
              <w:rPr>
                <w:rFonts w:cs="宋体"/>
                <w:highlight w:val="none"/>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002C15FE">
            <w:pPr>
              <w:ind w:firstLine="420"/>
              <w:jc w:val="center"/>
              <w:rPr>
                <w:rFonts w:cs="宋体"/>
                <w:highlight w:val="none"/>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36546307">
            <w:pPr>
              <w:ind w:firstLine="420"/>
              <w:jc w:val="center"/>
              <w:rPr>
                <w:rFonts w:cs="宋体"/>
                <w:highlight w:val="none"/>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5E67CE65">
            <w:pPr>
              <w:ind w:firstLine="420"/>
              <w:jc w:val="center"/>
              <w:rPr>
                <w:rFonts w:cs="宋体"/>
                <w:highlight w:val="none"/>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4F65F286">
            <w:pPr>
              <w:ind w:firstLine="420"/>
              <w:jc w:val="center"/>
              <w:rPr>
                <w:rFonts w:cs="宋体"/>
                <w:highlight w:val="none"/>
              </w:rPr>
            </w:pPr>
          </w:p>
        </w:tc>
      </w:tr>
      <w:tr w14:paraId="12F237A2">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041FE0F9">
            <w:pPr>
              <w:ind w:firstLine="420"/>
              <w:jc w:val="center"/>
              <w:rPr>
                <w:rFonts w:cs="宋体"/>
                <w:highlight w:val="none"/>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56065ED6">
            <w:pPr>
              <w:ind w:firstLine="420"/>
              <w:jc w:val="center"/>
              <w:rPr>
                <w:rFonts w:cs="宋体"/>
                <w:highlight w:val="none"/>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4D71224A">
            <w:pPr>
              <w:ind w:firstLine="420"/>
              <w:jc w:val="center"/>
              <w:rPr>
                <w:rFonts w:cs="宋体"/>
                <w:highlight w:val="none"/>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083D55F7">
            <w:pPr>
              <w:ind w:firstLine="420"/>
              <w:jc w:val="center"/>
              <w:rPr>
                <w:rFonts w:cs="宋体"/>
                <w:highlight w:val="none"/>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3417997B">
            <w:pPr>
              <w:ind w:firstLine="420"/>
              <w:jc w:val="center"/>
              <w:rPr>
                <w:rFonts w:cs="宋体"/>
                <w:highlight w:val="none"/>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0867D8BB">
            <w:pPr>
              <w:ind w:firstLine="420"/>
              <w:jc w:val="center"/>
              <w:rPr>
                <w:rFonts w:cs="宋体"/>
                <w:highlight w:val="none"/>
              </w:rPr>
            </w:pPr>
          </w:p>
        </w:tc>
      </w:tr>
      <w:tr w14:paraId="00A2B2A4">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714CF014">
            <w:pPr>
              <w:ind w:firstLine="420"/>
              <w:jc w:val="center"/>
              <w:rPr>
                <w:rFonts w:cs="宋体"/>
                <w:highlight w:val="none"/>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2FA3323E">
            <w:pPr>
              <w:ind w:firstLine="420"/>
              <w:jc w:val="center"/>
              <w:rPr>
                <w:rFonts w:cs="宋体"/>
                <w:highlight w:val="none"/>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22CB3B7C">
            <w:pPr>
              <w:ind w:firstLine="420"/>
              <w:jc w:val="center"/>
              <w:rPr>
                <w:rFonts w:cs="宋体"/>
                <w:highlight w:val="none"/>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69B5B80B">
            <w:pPr>
              <w:ind w:firstLine="420"/>
              <w:jc w:val="center"/>
              <w:rPr>
                <w:rFonts w:cs="宋体"/>
                <w:highlight w:val="none"/>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7B628071">
            <w:pPr>
              <w:ind w:firstLine="420"/>
              <w:jc w:val="center"/>
              <w:rPr>
                <w:rFonts w:cs="宋体"/>
                <w:highlight w:val="none"/>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0CE67853">
            <w:pPr>
              <w:ind w:firstLine="420"/>
              <w:jc w:val="center"/>
              <w:rPr>
                <w:rFonts w:cs="宋体"/>
                <w:highlight w:val="none"/>
              </w:rPr>
            </w:pPr>
          </w:p>
        </w:tc>
      </w:tr>
      <w:tr w14:paraId="1005E83E">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tcPr>
          <w:p w14:paraId="7CABF0AD">
            <w:pPr>
              <w:ind w:firstLine="420"/>
              <w:jc w:val="center"/>
              <w:rPr>
                <w:rFonts w:cs="宋体"/>
                <w:highlight w:val="none"/>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6B3D1867">
            <w:pPr>
              <w:ind w:firstLine="420"/>
              <w:rPr>
                <w:rFonts w:cs="宋体"/>
                <w:highlight w:val="none"/>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21DE2107">
            <w:pPr>
              <w:ind w:firstLine="420"/>
              <w:rPr>
                <w:rFonts w:cs="宋体"/>
                <w:highlight w:val="none"/>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61A5DBE3">
            <w:pPr>
              <w:ind w:firstLine="420"/>
              <w:rPr>
                <w:rFonts w:cs="宋体"/>
                <w:highlight w:val="none"/>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32F18535">
            <w:pPr>
              <w:ind w:firstLine="420"/>
              <w:rPr>
                <w:rFonts w:cs="宋体"/>
                <w:highlight w:val="none"/>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769011C0">
            <w:pPr>
              <w:ind w:firstLine="420"/>
              <w:rPr>
                <w:rFonts w:cs="宋体"/>
                <w:highlight w:val="none"/>
              </w:rPr>
            </w:pPr>
          </w:p>
        </w:tc>
      </w:tr>
      <w:tr w14:paraId="20A4CF6C">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double" w:color="000000" w:sz="6" w:space="0"/>
              <w:right w:val="single" w:color="000000" w:sz="6" w:space="0"/>
            </w:tcBorders>
          </w:tcPr>
          <w:p w14:paraId="4DAB3ECE">
            <w:pPr>
              <w:ind w:firstLine="420"/>
              <w:jc w:val="center"/>
              <w:rPr>
                <w:rFonts w:cs="宋体"/>
                <w:highlight w:val="none"/>
              </w:rPr>
            </w:pPr>
          </w:p>
        </w:tc>
        <w:tc>
          <w:tcPr>
            <w:tcW w:w="900" w:type="dxa"/>
            <w:tcBorders>
              <w:top w:val="single" w:color="000000" w:sz="6" w:space="0"/>
              <w:left w:val="single" w:color="000000" w:sz="6" w:space="0"/>
              <w:bottom w:val="double" w:color="000000" w:sz="6" w:space="0"/>
              <w:right w:val="single" w:color="000000" w:sz="6" w:space="0"/>
            </w:tcBorders>
            <w:vAlign w:val="center"/>
          </w:tcPr>
          <w:p w14:paraId="3D954C16">
            <w:pPr>
              <w:ind w:firstLine="420"/>
              <w:rPr>
                <w:rFonts w:cs="宋体"/>
                <w:highlight w:val="none"/>
              </w:rPr>
            </w:pPr>
          </w:p>
        </w:tc>
        <w:tc>
          <w:tcPr>
            <w:tcW w:w="2340" w:type="dxa"/>
            <w:tcBorders>
              <w:top w:val="single" w:color="000000" w:sz="6" w:space="0"/>
              <w:left w:val="single" w:color="000000" w:sz="6" w:space="0"/>
              <w:bottom w:val="double" w:color="000000" w:sz="6" w:space="0"/>
              <w:right w:val="single" w:color="000000" w:sz="6" w:space="0"/>
            </w:tcBorders>
            <w:vAlign w:val="center"/>
          </w:tcPr>
          <w:p w14:paraId="2394CD5F">
            <w:pPr>
              <w:ind w:firstLine="420"/>
              <w:rPr>
                <w:rFonts w:cs="宋体"/>
                <w:highlight w:val="none"/>
              </w:rPr>
            </w:pPr>
          </w:p>
        </w:tc>
        <w:tc>
          <w:tcPr>
            <w:tcW w:w="1620" w:type="dxa"/>
            <w:tcBorders>
              <w:top w:val="single" w:color="000000" w:sz="6" w:space="0"/>
              <w:left w:val="single" w:color="000000" w:sz="6" w:space="0"/>
              <w:bottom w:val="double" w:color="000000" w:sz="6" w:space="0"/>
              <w:right w:val="single" w:color="000000" w:sz="6" w:space="0"/>
            </w:tcBorders>
            <w:vAlign w:val="center"/>
          </w:tcPr>
          <w:p w14:paraId="1E978623">
            <w:pPr>
              <w:ind w:firstLine="420"/>
              <w:rPr>
                <w:rFonts w:cs="宋体"/>
                <w:highlight w:val="none"/>
              </w:rPr>
            </w:pPr>
          </w:p>
        </w:tc>
        <w:tc>
          <w:tcPr>
            <w:tcW w:w="1260" w:type="dxa"/>
            <w:tcBorders>
              <w:top w:val="single" w:color="000000" w:sz="6" w:space="0"/>
              <w:left w:val="single" w:color="000000" w:sz="6" w:space="0"/>
              <w:bottom w:val="double" w:color="000000" w:sz="6" w:space="0"/>
              <w:right w:val="single" w:color="000000" w:sz="6" w:space="0"/>
            </w:tcBorders>
            <w:vAlign w:val="center"/>
          </w:tcPr>
          <w:p w14:paraId="3601B146">
            <w:pPr>
              <w:ind w:firstLine="420"/>
              <w:rPr>
                <w:rFonts w:cs="宋体"/>
                <w:highlight w:val="none"/>
              </w:rPr>
            </w:pPr>
          </w:p>
        </w:tc>
        <w:tc>
          <w:tcPr>
            <w:tcW w:w="2918" w:type="dxa"/>
            <w:tcBorders>
              <w:top w:val="single" w:color="000000" w:sz="6" w:space="0"/>
              <w:left w:val="single" w:color="000000" w:sz="6" w:space="0"/>
              <w:bottom w:val="double" w:color="000000" w:sz="6" w:space="0"/>
              <w:right w:val="double" w:color="000000" w:sz="6" w:space="0"/>
            </w:tcBorders>
            <w:vAlign w:val="center"/>
          </w:tcPr>
          <w:p w14:paraId="79FAABFC">
            <w:pPr>
              <w:ind w:firstLine="420"/>
              <w:rPr>
                <w:rFonts w:cs="宋体"/>
                <w:highlight w:val="none"/>
              </w:rPr>
            </w:pPr>
          </w:p>
        </w:tc>
      </w:tr>
    </w:tbl>
    <w:p w14:paraId="6DB612DC">
      <w:pPr>
        <w:spacing w:line="480" w:lineRule="exact"/>
        <w:ind w:firstLine="420"/>
        <w:rPr>
          <w:rFonts w:cs="宋体"/>
          <w:highlight w:val="none"/>
        </w:rPr>
      </w:pPr>
      <w:r>
        <w:rPr>
          <w:rFonts w:hint="eastAsia" w:cs="宋体"/>
          <w:highlight w:val="none"/>
        </w:rPr>
        <w:t>注：1、供应商的响应文件中的内容与询价文件（含询价文件</w:t>
      </w:r>
      <w:r>
        <w:rPr>
          <w:rFonts w:hint="eastAsia" w:cs="宋体"/>
          <w:kern w:val="0"/>
          <w:highlight w:val="none"/>
        </w:rPr>
        <w:t>的澄清或者修改，下同</w:t>
      </w:r>
      <w:r>
        <w:rPr>
          <w:rFonts w:hint="eastAsia" w:cs="宋体"/>
          <w:highlight w:val="none"/>
        </w:rPr>
        <w:t>）的要求不同时，逐条列在偏离表中，否则将认为供应商接受询价文件的要求。</w:t>
      </w:r>
    </w:p>
    <w:p w14:paraId="7CFE7DB3">
      <w:pPr>
        <w:spacing w:line="480" w:lineRule="exact"/>
        <w:ind w:firstLine="420"/>
        <w:rPr>
          <w:rFonts w:cs="宋体"/>
          <w:highlight w:val="none"/>
        </w:rPr>
      </w:pPr>
      <w:r>
        <w:rPr>
          <w:rFonts w:hint="eastAsia" w:cs="宋体"/>
          <w:highlight w:val="none"/>
        </w:rPr>
        <w:t xml:space="preserve">    2、如果没有偏离也需要按要求盖章或签字，并附在响应文件中，否则视为无效响应。</w:t>
      </w:r>
    </w:p>
    <w:p w14:paraId="4A293EED">
      <w:pPr>
        <w:adjustRightInd w:val="0"/>
        <w:snapToGrid w:val="0"/>
        <w:spacing w:line="480" w:lineRule="exact"/>
        <w:ind w:right="34" w:rightChars="14" w:firstLine="3960" w:firstLineChars="1650"/>
        <w:rPr>
          <w:rFonts w:cs="宋体"/>
          <w:highlight w:val="none"/>
        </w:rPr>
      </w:pPr>
      <w:r>
        <w:rPr>
          <w:rFonts w:hint="eastAsia" w:cs="宋体"/>
          <w:highlight w:val="none"/>
        </w:rPr>
        <w:t>供应商（公章）：</w:t>
      </w:r>
    </w:p>
    <w:p w14:paraId="2B5FF087">
      <w:pPr>
        <w:adjustRightInd w:val="0"/>
        <w:snapToGrid w:val="0"/>
        <w:spacing w:line="480" w:lineRule="exact"/>
        <w:ind w:right="34" w:rightChars="14" w:firstLine="3960" w:firstLineChars="1650"/>
        <w:rPr>
          <w:rFonts w:cs="宋体"/>
          <w:highlight w:val="none"/>
        </w:rPr>
      </w:pPr>
      <w:r>
        <w:rPr>
          <w:rFonts w:hint="eastAsia" w:cs="宋体"/>
          <w:highlight w:val="none"/>
        </w:rPr>
        <w:t xml:space="preserve">法定代表人或授权代表（签字或盖章）：  </w:t>
      </w:r>
    </w:p>
    <w:p w14:paraId="1A9B2A23">
      <w:pPr>
        <w:adjustRightInd w:val="0"/>
        <w:snapToGrid w:val="0"/>
        <w:spacing w:line="480" w:lineRule="exact"/>
        <w:ind w:right="34" w:rightChars="14" w:firstLine="3960" w:firstLineChars="1650"/>
        <w:rPr>
          <w:rFonts w:cs="宋体"/>
          <w:highlight w:val="none"/>
        </w:rPr>
      </w:pPr>
      <w:r>
        <w:rPr>
          <w:rFonts w:hint="eastAsia" w:cs="宋体"/>
          <w:highlight w:val="none"/>
        </w:rPr>
        <w:t>日期：</w:t>
      </w:r>
    </w:p>
    <w:p w14:paraId="4DAC31F1">
      <w:pPr>
        <w:pStyle w:val="4"/>
        <w:tabs>
          <w:tab w:val="left" w:pos="5583"/>
        </w:tabs>
        <w:rPr>
          <w:rFonts w:ascii="宋体" w:hAnsi="宋体" w:eastAsia="宋体" w:cstheme="minorBidi"/>
          <w:b w:val="0"/>
          <w:bCs w:val="0"/>
          <w:sz w:val="24"/>
          <w:szCs w:val="28"/>
          <w:highlight w:val="none"/>
        </w:rPr>
      </w:pPr>
      <w:r>
        <w:rPr>
          <w:rFonts w:hint="eastAsia" w:ascii="宋体" w:hAnsi="宋体" w:eastAsia="宋体" w:cstheme="minorBidi"/>
          <w:b w:val="0"/>
          <w:bCs w:val="0"/>
          <w:sz w:val="24"/>
          <w:szCs w:val="28"/>
          <w:highlight w:val="none"/>
        </w:rPr>
        <w:t>附件6</w:t>
      </w:r>
      <w:r>
        <w:rPr>
          <w:rFonts w:ascii="宋体" w:hAnsi="宋体" w:eastAsia="宋体" w:cstheme="minorBidi"/>
          <w:b w:val="0"/>
          <w:bCs w:val="0"/>
          <w:sz w:val="24"/>
          <w:szCs w:val="28"/>
          <w:highlight w:val="none"/>
        </w:rPr>
        <w:tab/>
      </w:r>
    </w:p>
    <w:p w14:paraId="6204D15A">
      <w:pPr>
        <w:pStyle w:val="4"/>
        <w:jc w:val="center"/>
        <w:rPr>
          <w:rFonts w:ascii="宋体" w:hAnsi="宋体" w:eastAsia="宋体" w:cs="宋体"/>
          <w:bCs w:val="0"/>
          <w:sz w:val="24"/>
          <w:szCs w:val="24"/>
          <w:highlight w:val="none"/>
        </w:rPr>
      </w:pPr>
      <w:bookmarkStart w:id="31" w:name="_Hlk195451911"/>
      <w:r>
        <w:rPr>
          <w:rFonts w:hint="eastAsia" w:ascii="宋体" w:hAnsi="宋体" w:eastAsia="宋体" w:cs="宋体"/>
          <w:bCs w:val="0"/>
          <w:szCs w:val="28"/>
          <w:highlight w:val="none"/>
        </w:rPr>
        <w:t>供应商【含其分公司或其他分支机构（非独立法人）】未被列入失信被执行人、重大税收违法案件当事人名单、</w:t>
      </w:r>
      <w:r>
        <w:rPr>
          <w:rFonts w:hint="eastAsia" w:ascii="宋体" w:hAnsi="宋体" w:eastAsia="宋体" w:cs="宋体"/>
          <w:bCs w:val="0"/>
          <w:szCs w:val="28"/>
          <w:highlight w:val="none"/>
          <w:lang w:val="zh-CN"/>
        </w:rPr>
        <w:t>严重违法失信行为记录名单</w:t>
      </w:r>
      <w:r>
        <w:rPr>
          <w:rFonts w:hint="eastAsia" w:ascii="宋体" w:hAnsi="宋体" w:eastAsia="宋体" w:cs="宋体"/>
          <w:bCs w:val="0"/>
          <w:szCs w:val="28"/>
          <w:highlight w:val="none"/>
        </w:rPr>
        <w:t>的承诺书</w:t>
      </w:r>
    </w:p>
    <w:bookmarkEnd w:id="31"/>
    <w:p w14:paraId="6DE04BA0">
      <w:pPr>
        <w:ind w:firstLine="480" w:firstLineChars="200"/>
        <w:rPr>
          <w:rFonts w:cs="宋体"/>
          <w:highlight w:val="none"/>
          <w:u w:val="single"/>
        </w:rPr>
      </w:pPr>
      <w:r>
        <w:rPr>
          <w:rFonts w:hint="eastAsia" w:cs="宋体"/>
          <w:highlight w:val="none"/>
          <w:u w:val="single"/>
        </w:rPr>
        <w:t xml:space="preserve">                           </w:t>
      </w:r>
      <w:r>
        <w:rPr>
          <w:rFonts w:hint="eastAsia" w:cs="宋体"/>
          <w:highlight w:val="none"/>
        </w:rPr>
        <w:t>：</w:t>
      </w:r>
    </w:p>
    <w:p w14:paraId="50C22279">
      <w:pPr>
        <w:widowControl/>
        <w:ind w:firstLine="480" w:firstLineChars="200"/>
        <w:rPr>
          <w:rFonts w:cs="宋体"/>
          <w:highlight w:val="none"/>
        </w:rPr>
      </w:pPr>
      <w:r>
        <w:rPr>
          <w:rFonts w:hint="eastAsia" w:cs="宋体"/>
          <w:highlight w:val="none"/>
        </w:rPr>
        <w:t>我单位【含分公司或其他分支机构（非独立法人）】在参加（</w:t>
      </w:r>
      <w:r>
        <w:rPr>
          <w:rFonts w:hint="eastAsia" w:cs="宋体"/>
          <w:highlight w:val="none"/>
          <w:u w:val="single"/>
        </w:rPr>
        <w:t>中国矿业大学徐海学院</w:t>
      </w:r>
      <w:r>
        <w:rPr>
          <w:rFonts w:hint="eastAsia" w:cs="宋体"/>
          <w:highlight w:val="none"/>
          <w:u w:val="single"/>
          <w:lang w:eastAsia="zh-CN"/>
        </w:rPr>
        <w:t>网络安全等级保护</w:t>
      </w:r>
      <w:r>
        <w:rPr>
          <w:rFonts w:hint="eastAsia" w:cs="宋体"/>
          <w:highlight w:val="none"/>
          <w:u w:val="single"/>
        </w:rPr>
        <w:t>测评服务</w:t>
      </w:r>
      <w:r>
        <w:rPr>
          <w:rFonts w:hint="eastAsia" w:cs="宋体"/>
          <w:highlight w:val="none"/>
        </w:rPr>
        <w:t>）项目（项目编号：</w:t>
      </w:r>
      <w:r>
        <w:rPr>
          <w:rFonts w:cs="宋体"/>
          <w:highlight w:val="none"/>
        </w:rPr>
        <w:t>XYGL-CGXJ-2026-0</w:t>
      </w:r>
      <w:r>
        <w:rPr>
          <w:rFonts w:hint="eastAsia" w:cs="宋体"/>
          <w:highlight w:val="none"/>
          <w:lang w:val="en-US" w:eastAsia="zh-CN"/>
        </w:rPr>
        <w:t>7</w:t>
      </w:r>
      <w:r>
        <w:rPr>
          <w:rFonts w:hint="eastAsia" w:cs="宋体"/>
          <w:highlight w:val="none"/>
        </w:rPr>
        <w:t>）采购活动，根据询价文件的规定郑重承诺如下：</w:t>
      </w:r>
    </w:p>
    <w:p w14:paraId="42B164C8">
      <w:pPr>
        <w:widowControl/>
        <w:ind w:firstLine="480" w:firstLineChars="200"/>
        <w:rPr>
          <w:rFonts w:cs="宋体"/>
          <w:highlight w:val="none"/>
        </w:rPr>
      </w:pPr>
      <w:r>
        <w:rPr>
          <w:rFonts w:hint="eastAsia" w:cs="宋体"/>
          <w:highlight w:val="none"/>
        </w:rPr>
        <w:t>我单位【含分公司或其他分支机构（非独立法人）】未被“信用中国”网站列入失信被执行人、重大税收违法案件当事人名单、严重违法失信行为记录名单。</w:t>
      </w:r>
    </w:p>
    <w:p w14:paraId="2A742AEB">
      <w:pPr>
        <w:widowControl/>
        <w:ind w:firstLine="480" w:firstLineChars="200"/>
        <w:rPr>
          <w:rFonts w:cs="宋体"/>
          <w:highlight w:val="none"/>
        </w:rPr>
      </w:pPr>
      <w:r>
        <w:rPr>
          <w:rFonts w:hint="eastAsia" w:cs="宋体"/>
          <w:highlight w:val="none"/>
        </w:rPr>
        <w:t>我单位对上述声明的真实性负责。如有虚假，将依法承担相应责任。</w:t>
      </w:r>
    </w:p>
    <w:p w14:paraId="459F402E">
      <w:pPr>
        <w:pStyle w:val="5"/>
        <w:overflowPunct w:val="0"/>
        <w:spacing w:line="400" w:lineRule="exact"/>
        <w:ind w:firstLine="480"/>
        <w:jc w:val="center"/>
        <w:rPr>
          <w:rFonts w:cs="宋体"/>
          <w:highlight w:val="none"/>
        </w:rPr>
      </w:pPr>
    </w:p>
    <w:p w14:paraId="096DF124">
      <w:pPr>
        <w:pStyle w:val="5"/>
        <w:overflowPunct w:val="0"/>
        <w:spacing w:line="400" w:lineRule="exact"/>
        <w:ind w:firstLine="480"/>
        <w:jc w:val="center"/>
        <w:rPr>
          <w:rFonts w:cs="宋体"/>
          <w:highlight w:val="none"/>
        </w:rPr>
      </w:pPr>
    </w:p>
    <w:p w14:paraId="59C8B00B">
      <w:pPr>
        <w:spacing w:line="400" w:lineRule="exact"/>
        <w:ind w:firstLine="3120" w:firstLineChars="1300"/>
        <w:rPr>
          <w:rFonts w:cs="宋体"/>
          <w:highlight w:val="none"/>
        </w:rPr>
      </w:pPr>
      <w:r>
        <w:rPr>
          <w:rFonts w:hint="eastAsia" w:cs="宋体"/>
          <w:highlight w:val="none"/>
        </w:rPr>
        <w:t>供应商：</w:t>
      </w:r>
      <w:r>
        <w:rPr>
          <w:rFonts w:hint="eastAsia" w:cs="宋体"/>
          <w:highlight w:val="none"/>
          <w:u w:val="single"/>
        </w:rPr>
        <w:t xml:space="preserve">           </w:t>
      </w:r>
      <w:r>
        <w:rPr>
          <w:rFonts w:hint="eastAsia" w:cs="宋体"/>
          <w:highlight w:val="none"/>
        </w:rPr>
        <w:t>（盖单位公章）</w:t>
      </w:r>
    </w:p>
    <w:p w14:paraId="03167828">
      <w:pPr>
        <w:spacing w:line="400" w:lineRule="exact"/>
        <w:ind w:firstLine="480" w:firstLineChars="200"/>
        <w:rPr>
          <w:rFonts w:cs="宋体"/>
          <w:highlight w:val="none"/>
        </w:rPr>
      </w:pPr>
      <w:r>
        <w:rPr>
          <w:rFonts w:hint="eastAsia" w:cs="宋体"/>
          <w:highlight w:val="none"/>
        </w:rPr>
        <w:t xml:space="preserve">                      供应商授权代表：</w:t>
      </w:r>
      <w:r>
        <w:rPr>
          <w:rFonts w:hint="eastAsia" w:cs="宋体"/>
          <w:highlight w:val="none"/>
          <w:u w:val="single"/>
        </w:rPr>
        <w:t xml:space="preserve">           </w:t>
      </w:r>
      <w:r>
        <w:rPr>
          <w:rFonts w:hint="eastAsia" w:cs="宋体"/>
          <w:highlight w:val="none"/>
        </w:rPr>
        <w:t xml:space="preserve">（签字或盖章）  </w:t>
      </w:r>
    </w:p>
    <w:p w14:paraId="100C4810">
      <w:pPr>
        <w:spacing w:line="400" w:lineRule="exact"/>
        <w:ind w:firstLine="3120" w:firstLineChars="1300"/>
        <w:rPr>
          <w:rFonts w:cs="宋体"/>
          <w:highlight w:val="none"/>
        </w:rPr>
      </w:pPr>
      <w:r>
        <w:rPr>
          <w:rFonts w:hint="eastAsia" w:cs="宋体"/>
          <w:highlight w:val="none"/>
        </w:rPr>
        <w:t>日期：   年  月  日</w:t>
      </w:r>
    </w:p>
    <w:p w14:paraId="423543C3">
      <w:pPr>
        <w:rPr>
          <w:highlight w:val="none"/>
        </w:rPr>
      </w:pPr>
    </w:p>
    <w:p w14:paraId="1075784B">
      <w:pPr>
        <w:rPr>
          <w:highlight w:val="none"/>
        </w:rPr>
      </w:pPr>
    </w:p>
    <w:p w14:paraId="059490AB">
      <w:pPr>
        <w:rPr>
          <w:highlight w:val="none"/>
        </w:rPr>
      </w:pPr>
    </w:p>
    <w:p w14:paraId="2F7EA52C">
      <w:pPr>
        <w:rPr>
          <w:highlight w:val="none"/>
        </w:rPr>
      </w:pPr>
    </w:p>
    <w:p w14:paraId="2893538A">
      <w:pPr>
        <w:rPr>
          <w:highlight w:val="none"/>
        </w:rPr>
      </w:pPr>
    </w:p>
    <w:p w14:paraId="36F8A4B5">
      <w:pPr>
        <w:rPr>
          <w:highlight w:val="none"/>
        </w:rPr>
      </w:pPr>
    </w:p>
    <w:p w14:paraId="7BD389D8">
      <w:pPr>
        <w:rPr>
          <w:highlight w:val="none"/>
        </w:rPr>
      </w:pPr>
    </w:p>
    <w:p w14:paraId="7D5C185A">
      <w:pPr>
        <w:rPr>
          <w:highlight w:val="none"/>
        </w:rPr>
      </w:pPr>
    </w:p>
    <w:p w14:paraId="511F42AF">
      <w:pPr>
        <w:rPr>
          <w:highlight w:val="none"/>
        </w:rPr>
      </w:pPr>
    </w:p>
    <w:p w14:paraId="374E1582">
      <w:pPr>
        <w:rPr>
          <w:highlight w:val="none"/>
        </w:rPr>
      </w:pPr>
    </w:p>
    <w:p w14:paraId="499BDF36">
      <w:pPr>
        <w:rPr>
          <w:highlight w:val="none"/>
        </w:rPr>
      </w:pPr>
    </w:p>
    <w:p w14:paraId="7BCF034A">
      <w:pPr>
        <w:rPr>
          <w:highlight w:val="none"/>
        </w:rPr>
      </w:pPr>
    </w:p>
    <w:bookmarkEnd w:id="3"/>
    <w:p w14:paraId="4FBE2492">
      <w:pPr>
        <w:rPr>
          <w:highlight w:val="none"/>
        </w:rPr>
      </w:pPr>
    </w:p>
    <w:sectPr>
      <w:pgSz w:w="11906" w:h="16838"/>
      <w:pgMar w:top="1440" w:right="1080" w:bottom="1440" w:left="1080" w:header="851" w:footer="567"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973106"/>
    </w:sdtPr>
    <w:sdtContent>
      <w:p w14:paraId="76F29730">
        <w:pPr>
          <w:pStyle w:val="15"/>
          <w:jc w:val="center"/>
        </w:pPr>
        <w:r>
          <w:fldChar w:fldCharType="begin"/>
        </w:r>
        <w:r>
          <w:instrText xml:space="preserve">PAGE   \* MERGEFORMAT</w:instrText>
        </w:r>
        <w:r>
          <w:fldChar w:fldCharType="separate"/>
        </w:r>
        <w:r>
          <w:rPr>
            <w:lang w:val="zh-CN"/>
          </w:rPr>
          <w:t>12</w:t>
        </w:r>
        <w:r>
          <w:fldChar w:fldCharType="end"/>
        </w:r>
      </w:p>
    </w:sdtContent>
  </w:sdt>
  <w:p w14:paraId="539EFD34">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27847424"/>
      <w:showingPlcHdr/>
    </w:sdtPr>
    <w:sdtContent>
      <w:p w14:paraId="4FC03808">
        <w:pPr>
          <w:pStyle w:val="15"/>
        </w:pPr>
        <w:r>
          <w:t xml:space="preserve">     </w:t>
        </w:r>
      </w:p>
    </w:sdtContent>
  </w:sdt>
  <w:p w14:paraId="1C327AED">
    <w:pPr>
      <w:pStyle w:val="15"/>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35945990"/>
    </w:sdtPr>
    <w:sdtContent>
      <w:p w14:paraId="755A6CDA">
        <w:pPr>
          <w:pStyle w:val="15"/>
          <w:jc w:val="center"/>
        </w:pPr>
        <w:r>
          <w:fldChar w:fldCharType="begin"/>
        </w:r>
        <w:r>
          <w:instrText xml:space="preserve">PAGE   \* MERGEFORMAT</w:instrText>
        </w:r>
        <w:r>
          <w:fldChar w:fldCharType="separate"/>
        </w:r>
        <w:r>
          <w:rPr>
            <w:lang w:val="zh-CN"/>
          </w:rPr>
          <w:t>12</w:t>
        </w:r>
        <w:r>
          <w:fldChar w:fldCharType="end"/>
        </w:r>
      </w:p>
    </w:sdtContent>
  </w:sdt>
  <w:p w14:paraId="290EDA23">
    <w:pPr>
      <w:pStyle w:val="1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6D044">
    <w:pPr>
      <w:pStyle w:val="17"/>
    </w:pPr>
    <w:r>
      <w:rPr>
        <w:rFonts w:hint="eastAsia"/>
      </w:rPr>
      <w:t>中国矿业大学徐海学院舆情监测软件及服务采购项目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2197A">
    <w:pPr>
      <w:pStyle w:val="17"/>
      <w:rPr>
        <w:rFonts w:hint="eastAsia"/>
      </w:rPr>
    </w:pPr>
    <w:r>
      <w:rPr>
        <w:rFonts w:hint="eastAsia"/>
      </w:rPr>
      <w:t>中国矿业大学徐海学院</w:t>
    </w:r>
    <w:r>
      <w:rPr>
        <w:rFonts w:hint="eastAsia"/>
        <w:lang w:eastAsia="zh-CN"/>
      </w:rPr>
      <w:t>网络安全等级保护</w:t>
    </w:r>
    <w:r>
      <w:rPr>
        <w:rFonts w:hint="eastAsia"/>
      </w:rPr>
      <w:t>测评服务项目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7B7A07"/>
    <w:multiLevelType w:val="multilevel"/>
    <w:tmpl w:val="107B7A07"/>
    <w:lvl w:ilvl="0" w:tentative="0">
      <w:start w:val="1"/>
      <w:numFmt w:val="decimal"/>
      <w:pStyle w:val="29"/>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BA9D9A9"/>
    <w:multiLevelType w:val="singleLevel"/>
    <w:tmpl w:val="5BA9D9A9"/>
    <w:lvl w:ilvl="0" w:tentative="0">
      <w:start w:val="4"/>
      <w:numFmt w:val="decimal"/>
      <w:suff w:val="space"/>
      <w:lvlText w:val="%1."/>
      <w:lvlJc w:val="left"/>
    </w:lvl>
  </w:abstractNum>
  <w:abstractNum w:abstractNumId="2">
    <w:nsid w:val="6C7F21B8"/>
    <w:multiLevelType w:val="multilevel"/>
    <w:tmpl w:val="6C7F21B8"/>
    <w:lvl w:ilvl="0" w:tentative="0">
      <w:start w:val="1"/>
      <w:numFmt w:val="japaneseCounting"/>
      <w:lvlText w:val="%1、"/>
      <w:lvlJc w:val="left"/>
      <w:pPr>
        <w:ind w:left="992" w:hanging="510"/>
      </w:pPr>
      <w:rPr>
        <w:rFonts w:hint="default"/>
      </w:r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420"/>
  <w:drawingGridHorizontalSpacing w:val="120"/>
  <w:drawingGridVerticalSpacing w:val="163"/>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FlOTEyMmZlZWExMWYxMmRlN2M1ZTg0ZWM1NmU4NTIifQ=="/>
  </w:docVars>
  <w:rsids>
    <w:rsidRoot w:val="00B378FC"/>
    <w:rsid w:val="000031FE"/>
    <w:rsid w:val="000069A6"/>
    <w:rsid w:val="0000788F"/>
    <w:rsid w:val="00012433"/>
    <w:rsid w:val="000157D6"/>
    <w:rsid w:val="0002745B"/>
    <w:rsid w:val="00033D29"/>
    <w:rsid w:val="00035B04"/>
    <w:rsid w:val="00035FCB"/>
    <w:rsid w:val="00037DD2"/>
    <w:rsid w:val="00041A80"/>
    <w:rsid w:val="00042DF0"/>
    <w:rsid w:val="00064947"/>
    <w:rsid w:val="00070FE7"/>
    <w:rsid w:val="0007331D"/>
    <w:rsid w:val="00085793"/>
    <w:rsid w:val="000942B7"/>
    <w:rsid w:val="00095CF4"/>
    <w:rsid w:val="000A5649"/>
    <w:rsid w:val="000B275F"/>
    <w:rsid w:val="000B4828"/>
    <w:rsid w:val="000B5F88"/>
    <w:rsid w:val="000C23CB"/>
    <w:rsid w:val="000C2441"/>
    <w:rsid w:val="000C7B16"/>
    <w:rsid w:val="000D29AC"/>
    <w:rsid w:val="000D723F"/>
    <w:rsid w:val="000D7A25"/>
    <w:rsid w:val="000E4875"/>
    <w:rsid w:val="000F3793"/>
    <w:rsid w:val="00111837"/>
    <w:rsid w:val="00116DCF"/>
    <w:rsid w:val="001208C3"/>
    <w:rsid w:val="001248AB"/>
    <w:rsid w:val="00125833"/>
    <w:rsid w:val="00125AD5"/>
    <w:rsid w:val="00141401"/>
    <w:rsid w:val="00143A9B"/>
    <w:rsid w:val="00152355"/>
    <w:rsid w:val="0015284F"/>
    <w:rsid w:val="00152BC8"/>
    <w:rsid w:val="00153549"/>
    <w:rsid w:val="00164393"/>
    <w:rsid w:val="00167B7D"/>
    <w:rsid w:val="00172D05"/>
    <w:rsid w:val="00173F8C"/>
    <w:rsid w:val="00180413"/>
    <w:rsid w:val="00183D38"/>
    <w:rsid w:val="001851F4"/>
    <w:rsid w:val="00186526"/>
    <w:rsid w:val="00192B7D"/>
    <w:rsid w:val="00193AD0"/>
    <w:rsid w:val="00194928"/>
    <w:rsid w:val="001A16D3"/>
    <w:rsid w:val="001A5F41"/>
    <w:rsid w:val="001A64C4"/>
    <w:rsid w:val="001A6636"/>
    <w:rsid w:val="001B6315"/>
    <w:rsid w:val="001C32A5"/>
    <w:rsid w:val="001C493B"/>
    <w:rsid w:val="001C5944"/>
    <w:rsid w:val="001E3B23"/>
    <w:rsid w:val="001F2145"/>
    <w:rsid w:val="001F26D1"/>
    <w:rsid w:val="001F3506"/>
    <w:rsid w:val="001F3C9A"/>
    <w:rsid w:val="001F6163"/>
    <w:rsid w:val="001F6900"/>
    <w:rsid w:val="00200466"/>
    <w:rsid w:val="002032C7"/>
    <w:rsid w:val="00210818"/>
    <w:rsid w:val="002142C5"/>
    <w:rsid w:val="00220F80"/>
    <w:rsid w:val="002244BD"/>
    <w:rsid w:val="002255CB"/>
    <w:rsid w:val="002255F8"/>
    <w:rsid w:val="00230C16"/>
    <w:rsid w:val="00244AAF"/>
    <w:rsid w:val="00244FE9"/>
    <w:rsid w:val="00246DD5"/>
    <w:rsid w:val="00247287"/>
    <w:rsid w:val="00252B0B"/>
    <w:rsid w:val="00255C4F"/>
    <w:rsid w:val="00271011"/>
    <w:rsid w:val="00271AD2"/>
    <w:rsid w:val="00272094"/>
    <w:rsid w:val="00274D7A"/>
    <w:rsid w:val="002827CB"/>
    <w:rsid w:val="00284E09"/>
    <w:rsid w:val="00294E5D"/>
    <w:rsid w:val="002A1C0A"/>
    <w:rsid w:val="002A27DF"/>
    <w:rsid w:val="002B34E6"/>
    <w:rsid w:val="002B3772"/>
    <w:rsid w:val="002B51F5"/>
    <w:rsid w:val="002B7CA0"/>
    <w:rsid w:val="002C1071"/>
    <w:rsid w:val="002C1C49"/>
    <w:rsid w:val="002C4637"/>
    <w:rsid w:val="002C771A"/>
    <w:rsid w:val="002D2EA4"/>
    <w:rsid w:val="002D6DC5"/>
    <w:rsid w:val="002E1FB8"/>
    <w:rsid w:val="002E7C92"/>
    <w:rsid w:val="002F6B39"/>
    <w:rsid w:val="00306EF3"/>
    <w:rsid w:val="00313D9F"/>
    <w:rsid w:val="003143D7"/>
    <w:rsid w:val="00314BE2"/>
    <w:rsid w:val="00314EE8"/>
    <w:rsid w:val="003163D8"/>
    <w:rsid w:val="00321ED7"/>
    <w:rsid w:val="0032201E"/>
    <w:rsid w:val="00323E7C"/>
    <w:rsid w:val="00324C4E"/>
    <w:rsid w:val="0032517A"/>
    <w:rsid w:val="00330439"/>
    <w:rsid w:val="00334839"/>
    <w:rsid w:val="003348C7"/>
    <w:rsid w:val="003365E2"/>
    <w:rsid w:val="003439D4"/>
    <w:rsid w:val="00350566"/>
    <w:rsid w:val="0035384B"/>
    <w:rsid w:val="003553D3"/>
    <w:rsid w:val="00357B2A"/>
    <w:rsid w:val="00361758"/>
    <w:rsid w:val="00361A63"/>
    <w:rsid w:val="0036247D"/>
    <w:rsid w:val="003743FF"/>
    <w:rsid w:val="0037615B"/>
    <w:rsid w:val="00384D15"/>
    <w:rsid w:val="003A150D"/>
    <w:rsid w:val="003B1D31"/>
    <w:rsid w:val="003B1DDA"/>
    <w:rsid w:val="003B2355"/>
    <w:rsid w:val="003C1B13"/>
    <w:rsid w:val="003C6973"/>
    <w:rsid w:val="003C76C4"/>
    <w:rsid w:val="003E53AA"/>
    <w:rsid w:val="003F0479"/>
    <w:rsid w:val="003F1310"/>
    <w:rsid w:val="003F6923"/>
    <w:rsid w:val="00406E94"/>
    <w:rsid w:val="00416DCB"/>
    <w:rsid w:val="004240BE"/>
    <w:rsid w:val="004248A8"/>
    <w:rsid w:val="004326D7"/>
    <w:rsid w:val="00432D2D"/>
    <w:rsid w:val="004340E1"/>
    <w:rsid w:val="004347D3"/>
    <w:rsid w:val="00434E94"/>
    <w:rsid w:val="00435678"/>
    <w:rsid w:val="00435AF6"/>
    <w:rsid w:val="00440920"/>
    <w:rsid w:val="00445AD2"/>
    <w:rsid w:val="00447FFB"/>
    <w:rsid w:val="004546E0"/>
    <w:rsid w:val="004549C0"/>
    <w:rsid w:val="00475BB7"/>
    <w:rsid w:val="00484A37"/>
    <w:rsid w:val="0049296F"/>
    <w:rsid w:val="00494EFB"/>
    <w:rsid w:val="00496125"/>
    <w:rsid w:val="0049668F"/>
    <w:rsid w:val="004A317B"/>
    <w:rsid w:val="004A7988"/>
    <w:rsid w:val="004B57DC"/>
    <w:rsid w:val="004C072F"/>
    <w:rsid w:val="004C0C04"/>
    <w:rsid w:val="004C5DBB"/>
    <w:rsid w:val="004C77AD"/>
    <w:rsid w:val="004D1B2F"/>
    <w:rsid w:val="004D2FB2"/>
    <w:rsid w:val="004E6C3C"/>
    <w:rsid w:val="004E6E60"/>
    <w:rsid w:val="00500C9C"/>
    <w:rsid w:val="00503F93"/>
    <w:rsid w:val="00505CE7"/>
    <w:rsid w:val="00506017"/>
    <w:rsid w:val="00515034"/>
    <w:rsid w:val="0052157A"/>
    <w:rsid w:val="0052269A"/>
    <w:rsid w:val="005233C1"/>
    <w:rsid w:val="0052553E"/>
    <w:rsid w:val="0053409C"/>
    <w:rsid w:val="005356DC"/>
    <w:rsid w:val="0054254D"/>
    <w:rsid w:val="0054758B"/>
    <w:rsid w:val="00550B32"/>
    <w:rsid w:val="0055234A"/>
    <w:rsid w:val="00553B28"/>
    <w:rsid w:val="00556C49"/>
    <w:rsid w:val="00557393"/>
    <w:rsid w:val="00561131"/>
    <w:rsid w:val="00570E5B"/>
    <w:rsid w:val="00576487"/>
    <w:rsid w:val="00580E1F"/>
    <w:rsid w:val="00581B52"/>
    <w:rsid w:val="00583FD6"/>
    <w:rsid w:val="00587E77"/>
    <w:rsid w:val="00595452"/>
    <w:rsid w:val="00595E9F"/>
    <w:rsid w:val="005A463E"/>
    <w:rsid w:val="005A62EB"/>
    <w:rsid w:val="005A75D4"/>
    <w:rsid w:val="005A77B5"/>
    <w:rsid w:val="005C0F15"/>
    <w:rsid w:val="005C15E0"/>
    <w:rsid w:val="005D106C"/>
    <w:rsid w:val="005D40C1"/>
    <w:rsid w:val="005D4886"/>
    <w:rsid w:val="005E26D7"/>
    <w:rsid w:val="005F154E"/>
    <w:rsid w:val="005F1F62"/>
    <w:rsid w:val="005F2705"/>
    <w:rsid w:val="005F292C"/>
    <w:rsid w:val="005F30DA"/>
    <w:rsid w:val="005F5035"/>
    <w:rsid w:val="0060127D"/>
    <w:rsid w:val="00604EE1"/>
    <w:rsid w:val="00607D88"/>
    <w:rsid w:val="00610737"/>
    <w:rsid w:val="00614994"/>
    <w:rsid w:val="006149AF"/>
    <w:rsid w:val="0061752E"/>
    <w:rsid w:val="0062473E"/>
    <w:rsid w:val="00626307"/>
    <w:rsid w:val="006275FE"/>
    <w:rsid w:val="00637D63"/>
    <w:rsid w:val="00641C0C"/>
    <w:rsid w:val="006432A2"/>
    <w:rsid w:val="006560BF"/>
    <w:rsid w:val="00660944"/>
    <w:rsid w:val="00667051"/>
    <w:rsid w:val="006731AD"/>
    <w:rsid w:val="00675A0A"/>
    <w:rsid w:val="00680B1E"/>
    <w:rsid w:val="0068111B"/>
    <w:rsid w:val="00695C76"/>
    <w:rsid w:val="006A5847"/>
    <w:rsid w:val="006B217A"/>
    <w:rsid w:val="006B2D90"/>
    <w:rsid w:val="006B36B6"/>
    <w:rsid w:val="006B491D"/>
    <w:rsid w:val="006B5F08"/>
    <w:rsid w:val="006C047F"/>
    <w:rsid w:val="006C3F78"/>
    <w:rsid w:val="006D0EEE"/>
    <w:rsid w:val="006D188F"/>
    <w:rsid w:val="006D1D7E"/>
    <w:rsid w:val="006D2357"/>
    <w:rsid w:val="0070725E"/>
    <w:rsid w:val="007168CD"/>
    <w:rsid w:val="00716D88"/>
    <w:rsid w:val="0072299A"/>
    <w:rsid w:val="007236FF"/>
    <w:rsid w:val="00725DAD"/>
    <w:rsid w:val="00727BA1"/>
    <w:rsid w:val="0073377C"/>
    <w:rsid w:val="00736042"/>
    <w:rsid w:val="00736F76"/>
    <w:rsid w:val="007370C9"/>
    <w:rsid w:val="00742F85"/>
    <w:rsid w:val="00747BA3"/>
    <w:rsid w:val="00755B1F"/>
    <w:rsid w:val="00756F75"/>
    <w:rsid w:val="007573E6"/>
    <w:rsid w:val="00760FAA"/>
    <w:rsid w:val="00762111"/>
    <w:rsid w:val="007623E7"/>
    <w:rsid w:val="00762761"/>
    <w:rsid w:val="0077562B"/>
    <w:rsid w:val="0077589F"/>
    <w:rsid w:val="00790309"/>
    <w:rsid w:val="007904D3"/>
    <w:rsid w:val="00794981"/>
    <w:rsid w:val="0079748E"/>
    <w:rsid w:val="007A08F0"/>
    <w:rsid w:val="007A3B90"/>
    <w:rsid w:val="007A4744"/>
    <w:rsid w:val="007B0482"/>
    <w:rsid w:val="007B36F6"/>
    <w:rsid w:val="007B5CA9"/>
    <w:rsid w:val="007C0BBB"/>
    <w:rsid w:val="007C1076"/>
    <w:rsid w:val="007C3C62"/>
    <w:rsid w:val="007C48B5"/>
    <w:rsid w:val="007C59EB"/>
    <w:rsid w:val="007D6685"/>
    <w:rsid w:val="007D6D5C"/>
    <w:rsid w:val="007E1386"/>
    <w:rsid w:val="007E2D0B"/>
    <w:rsid w:val="007E3950"/>
    <w:rsid w:val="007E4BC0"/>
    <w:rsid w:val="007E6AC3"/>
    <w:rsid w:val="007E7532"/>
    <w:rsid w:val="007F7975"/>
    <w:rsid w:val="007F7ECC"/>
    <w:rsid w:val="008036D9"/>
    <w:rsid w:val="00803BB4"/>
    <w:rsid w:val="00804039"/>
    <w:rsid w:val="00805E55"/>
    <w:rsid w:val="008103D1"/>
    <w:rsid w:val="00811722"/>
    <w:rsid w:val="0081177D"/>
    <w:rsid w:val="0081620B"/>
    <w:rsid w:val="0082369A"/>
    <w:rsid w:val="00824827"/>
    <w:rsid w:val="00840138"/>
    <w:rsid w:val="008450CC"/>
    <w:rsid w:val="00850C40"/>
    <w:rsid w:val="0085750A"/>
    <w:rsid w:val="00864630"/>
    <w:rsid w:val="0086540A"/>
    <w:rsid w:val="00865633"/>
    <w:rsid w:val="00866AA8"/>
    <w:rsid w:val="00876195"/>
    <w:rsid w:val="00876662"/>
    <w:rsid w:val="00877D13"/>
    <w:rsid w:val="008819F4"/>
    <w:rsid w:val="0088792B"/>
    <w:rsid w:val="0089003C"/>
    <w:rsid w:val="00892CB7"/>
    <w:rsid w:val="008938F8"/>
    <w:rsid w:val="00896971"/>
    <w:rsid w:val="008A065F"/>
    <w:rsid w:val="008A1601"/>
    <w:rsid w:val="008B3D03"/>
    <w:rsid w:val="008C2910"/>
    <w:rsid w:val="008C56BB"/>
    <w:rsid w:val="008C64EE"/>
    <w:rsid w:val="008D0620"/>
    <w:rsid w:val="008D0BC5"/>
    <w:rsid w:val="008D43B8"/>
    <w:rsid w:val="008E0E04"/>
    <w:rsid w:val="008E2CF7"/>
    <w:rsid w:val="008E729F"/>
    <w:rsid w:val="008E73C6"/>
    <w:rsid w:val="008F1BF5"/>
    <w:rsid w:val="009026DE"/>
    <w:rsid w:val="00906F25"/>
    <w:rsid w:val="009071FA"/>
    <w:rsid w:val="00911184"/>
    <w:rsid w:val="00920DF1"/>
    <w:rsid w:val="00921CE8"/>
    <w:rsid w:val="009317C5"/>
    <w:rsid w:val="00942A24"/>
    <w:rsid w:val="00944532"/>
    <w:rsid w:val="009461F5"/>
    <w:rsid w:val="00946862"/>
    <w:rsid w:val="00947228"/>
    <w:rsid w:val="00955C4D"/>
    <w:rsid w:val="0096749A"/>
    <w:rsid w:val="00967EAB"/>
    <w:rsid w:val="009706E8"/>
    <w:rsid w:val="00973A58"/>
    <w:rsid w:val="00975A77"/>
    <w:rsid w:val="00977281"/>
    <w:rsid w:val="00980C11"/>
    <w:rsid w:val="0098175E"/>
    <w:rsid w:val="00981F2E"/>
    <w:rsid w:val="0098350E"/>
    <w:rsid w:val="00985AE4"/>
    <w:rsid w:val="00995D16"/>
    <w:rsid w:val="00996C17"/>
    <w:rsid w:val="00996CA9"/>
    <w:rsid w:val="009B3092"/>
    <w:rsid w:val="009B4C47"/>
    <w:rsid w:val="009B4F2E"/>
    <w:rsid w:val="009B73F9"/>
    <w:rsid w:val="009C1E1B"/>
    <w:rsid w:val="009C470A"/>
    <w:rsid w:val="009D04FC"/>
    <w:rsid w:val="009D4EE8"/>
    <w:rsid w:val="009D63B4"/>
    <w:rsid w:val="009E15BF"/>
    <w:rsid w:val="009E351F"/>
    <w:rsid w:val="009E4552"/>
    <w:rsid w:val="009F061D"/>
    <w:rsid w:val="009F2DB0"/>
    <w:rsid w:val="00A0323A"/>
    <w:rsid w:val="00A064D1"/>
    <w:rsid w:val="00A06F98"/>
    <w:rsid w:val="00A11A9D"/>
    <w:rsid w:val="00A13696"/>
    <w:rsid w:val="00A15E2C"/>
    <w:rsid w:val="00A177A7"/>
    <w:rsid w:val="00A35AB8"/>
    <w:rsid w:val="00A35B0E"/>
    <w:rsid w:val="00A37B61"/>
    <w:rsid w:val="00A4127E"/>
    <w:rsid w:val="00A417FE"/>
    <w:rsid w:val="00A43683"/>
    <w:rsid w:val="00A439E5"/>
    <w:rsid w:val="00A45DEC"/>
    <w:rsid w:val="00A50BC4"/>
    <w:rsid w:val="00A524E3"/>
    <w:rsid w:val="00A54990"/>
    <w:rsid w:val="00A62435"/>
    <w:rsid w:val="00A64C6B"/>
    <w:rsid w:val="00A725C2"/>
    <w:rsid w:val="00A72F57"/>
    <w:rsid w:val="00A74BE7"/>
    <w:rsid w:val="00A8320F"/>
    <w:rsid w:val="00AA3DC5"/>
    <w:rsid w:val="00AA5322"/>
    <w:rsid w:val="00AB0D72"/>
    <w:rsid w:val="00AB281A"/>
    <w:rsid w:val="00AB6A05"/>
    <w:rsid w:val="00AC2312"/>
    <w:rsid w:val="00AC52BD"/>
    <w:rsid w:val="00AC549D"/>
    <w:rsid w:val="00AD17EC"/>
    <w:rsid w:val="00AE0813"/>
    <w:rsid w:val="00AE2B3B"/>
    <w:rsid w:val="00AF556B"/>
    <w:rsid w:val="00AF74E5"/>
    <w:rsid w:val="00AF7B1C"/>
    <w:rsid w:val="00B054DC"/>
    <w:rsid w:val="00B1508E"/>
    <w:rsid w:val="00B203B0"/>
    <w:rsid w:val="00B21A23"/>
    <w:rsid w:val="00B21CB7"/>
    <w:rsid w:val="00B303AA"/>
    <w:rsid w:val="00B339B1"/>
    <w:rsid w:val="00B34F3E"/>
    <w:rsid w:val="00B350B9"/>
    <w:rsid w:val="00B365A3"/>
    <w:rsid w:val="00B378FC"/>
    <w:rsid w:val="00B4508D"/>
    <w:rsid w:val="00B45AA6"/>
    <w:rsid w:val="00B462DF"/>
    <w:rsid w:val="00B503AE"/>
    <w:rsid w:val="00B5054B"/>
    <w:rsid w:val="00B57A9A"/>
    <w:rsid w:val="00B648B5"/>
    <w:rsid w:val="00B71B13"/>
    <w:rsid w:val="00B75C3C"/>
    <w:rsid w:val="00B76AF8"/>
    <w:rsid w:val="00B808BD"/>
    <w:rsid w:val="00B81916"/>
    <w:rsid w:val="00B85DC2"/>
    <w:rsid w:val="00B860E6"/>
    <w:rsid w:val="00B863BD"/>
    <w:rsid w:val="00B90121"/>
    <w:rsid w:val="00B90950"/>
    <w:rsid w:val="00B93080"/>
    <w:rsid w:val="00B951DD"/>
    <w:rsid w:val="00B95A5B"/>
    <w:rsid w:val="00B95FEB"/>
    <w:rsid w:val="00B97822"/>
    <w:rsid w:val="00BA1F6A"/>
    <w:rsid w:val="00BA6A8B"/>
    <w:rsid w:val="00BB69B9"/>
    <w:rsid w:val="00BB6CF5"/>
    <w:rsid w:val="00BC2631"/>
    <w:rsid w:val="00BC7AB6"/>
    <w:rsid w:val="00BD089E"/>
    <w:rsid w:val="00BD7102"/>
    <w:rsid w:val="00BD792D"/>
    <w:rsid w:val="00BE2085"/>
    <w:rsid w:val="00BE7CD1"/>
    <w:rsid w:val="00BF56B2"/>
    <w:rsid w:val="00BF7CB7"/>
    <w:rsid w:val="00C0057F"/>
    <w:rsid w:val="00C0629A"/>
    <w:rsid w:val="00C172E1"/>
    <w:rsid w:val="00C1746F"/>
    <w:rsid w:val="00C205E1"/>
    <w:rsid w:val="00C21F54"/>
    <w:rsid w:val="00C220BF"/>
    <w:rsid w:val="00C30C1C"/>
    <w:rsid w:val="00C31C75"/>
    <w:rsid w:val="00C33F71"/>
    <w:rsid w:val="00C4152C"/>
    <w:rsid w:val="00C42AA7"/>
    <w:rsid w:val="00C4462E"/>
    <w:rsid w:val="00C5492F"/>
    <w:rsid w:val="00C60333"/>
    <w:rsid w:val="00C62EAC"/>
    <w:rsid w:val="00C70C11"/>
    <w:rsid w:val="00C73937"/>
    <w:rsid w:val="00C7781B"/>
    <w:rsid w:val="00C84B8C"/>
    <w:rsid w:val="00C84F41"/>
    <w:rsid w:val="00C84FE8"/>
    <w:rsid w:val="00C87E9C"/>
    <w:rsid w:val="00C969A4"/>
    <w:rsid w:val="00C97081"/>
    <w:rsid w:val="00C97D45"/>
    <w:rsid w:val="00CA2AA7"/>
    <w:rsid w:val="00CA4403"/>
    <w:rsid w:val="00CA4F56"/>
    <w:rsid w:val="00CB2096"/>
    <w:rsid w:val="00CB2433"/>
    <w:rsid w:val="00CB2C12"/>
    <w:rsid w:val="00CC0B27"/>
    <w:rsid w:val="00CC684F"/>
    <w:rsid w:val="00CC740C"/>
    <w:rsid w:val="00CD2204"/>
    <w:rsid w:val="00CD3B2F"/>
    <w:rsid w:val="00CD4107"/>
    <w:rsid w:val="00CD5B68"/>
    <w:rsid w:val="00CD5F92"/>
    <w:rsid w:val="00CE367E"/>
    <w:rsid w:val="00CE63FB"/>
    <w:rsid w:val="00CE764F"/>
    <w:rsid w:val="00CF468A"/>
    <w:rsid w:val="00CF4FD1"/>
    <w:rsid w:val="00CF627A"/>
    <w:rsid w:val="00D01D62"/>
    <w:rsid w:val="00D043FD"/>
    <w:rsid w:val="00D04993"/>
    <w:rsid w:val="00D04FF2"/>
    <w:rsid w:val="00D104B8"/>
    <w:rsid w:val="00D128C1"/>
    <w:rsid w:val="00D16C42"/>
    <w:rsid w:val="00D2001F"/>
    <w:rsid w:val="00D2318C"/>
    <w:rsid w:val="00D24600"/>
    <w:rsid w:val="00D2723C"/>
    <w:rsid w:val="00D306AA"/>
    <w:rsid w:val="00D30A35"/>
    <w:rsid w:val="00D338D5"/>
    <w:rsid w:val="00D3533D"/>
    <w:rsid w:val="00D4342D"/>
    <w:rsid w:val="00D54079"/>
    <w:rsid w:val="00D54997"/>
    <w:rsid w:val="00D724FE"/>
    <w:rsid w:val="00D74402"/>
    <w:rsid w:val="00D77390"/>
    <w:rsid w:val="00D80CEC"/>
    <w:rsid w:val="00D84532"/>
    <w:rsid w:val="00D925B2"/>
    <w:rsid w:val="00D92690"/>
    <w:rsid w:val="00D92701"/>
    <w:rsid w:val="00DA28EE"/>
    <w:rsid w:val="00DA51FC"/>
    <w:rsid w:val="00DA69AB"/>
    <w:rsid w:val="00DB2720"/>
    <w:rsid w:val="00DB77BA"/>
    <w:rsid w:val="00DC0DC0"/>
    <w:rsid w:val="00DD052F"/>
    <w:rsid w:val="00DD0DC1"/>
    <w:rsid w:val="00DF0BA5"/>
    <w:rsid w:val="00DF227F"/>
    <w:rsid w:val="00E00DBA"/>
    <w:rsid w:val="00E02F25"/>
    <w:rsid w:val="00E05621"/>
    <w:rsid w:val="00E05B6E"/>
    <w:rsid w:val="00E061A0"/>
    <w:rsid w:val="00E068CB"/>
    <w:rsid w:val="00E153E5"/>
    <w:rsid w:val="00E168AE"/>
    <w:rsid w:val="00E25392"/>
    <w:rsid w:val="00E25BE2"/>
    <w:rsid w:val="00E2694A"/>
    <w:rsid w:val="00E26AA4"/>
    <w:rsid w:val="00E32B4D"/>
    <w:rsid w:val="00E34610"/>
    <w:rsid w:val="00E35FB6"/>
    <w:rsid w:val="00E368A2"/>
    <w:rsid w:val="00E41B82"/>
    <w:rsid w:val="00E42490"/>
    <w:rsid w:val="00E4490B"/>
    <w:rsid w:val="00E46872"/>
    <w:rsid w:val="00E5001D"/>
    <w:rsid w:val="00E514BD"/>
    <w:rsid w:val="00E64593"/>
    <w:rsid w:val="00E64C89"/>
    <w:rsid w:val="00E673D0"/>
    <w:rsid w:val="00E72FB4"/>
    <w:rsid w:val="00E74578"/>
    <w:rsid w:val="00E75F39"/>
    <w:rsid w:val="00E8360A"/>
    <w:rsid w:val="00E85A1F"/>
    <w:rsid w:val="00E8684D"/>
    <w:rsid w:val="00E905F5"/>
    <w:rsid w:val="00E93A66"/>
    <w:rsid w:val="00E968FF"/>
    <w:rsid w:val="00EB40AB"/>
    <w:rsid w:val="00EB79B7"/>
    <w:rsid w:val="00EC5F4E"/>
    <w:rsid w:val="00ED156F"/>
    <w:rsid w:val="00ED6092"/>
    <w:rsid w:val="00ED627A"/>
    <w:rsid w:val="00F1344B"/>
    <w:rsid w:val="00F15629"/>
    <w:rsid w:val="00F17972"/>
    <w:rsid w:val="00F24110"/>
    <w:rsid w:val="00F2686A"/>
    <w:rsid w:val="00F34D19"/>
    <w:rsid w:val="00F35F15"/>
    <w:rsid w:val="00F36B68"/>
    <w:rsid w:val="00F475BC"/>
    <w:rsid w:val="00F47A5A"/>
    <w:rsid w:val="00F522E6"/>
    <w:rsid w:val="00F65145"/>
    <w:rsid w:val="00F66A4D"/>
    <w:rsid w:val="00F71D13"/>
    <w:rsid w:val="00F76A3C"/>
    <w:rsid w:val="00F825C3"/>
    <w:rsid w:val="00F86795"/>
    <w:rsid w:val="00F91464"/>
    <w:rsid w:val="00F931B6"/>
    <w:rsid w:val="00F93462"/>
    <w:rsid w:val="00F95B59"/>
    <w:rsid w:val="00F96466"/>
    <w:rsid w:val="00FA033F"/>
    <w:rsid w:val="00FA40C9"/>
    <w:rsid w:val="00FA604D"/>
    <w:rsid w:val="00FA66D8"/>
    <w:rsid w:val="00FB2E97"/>
    <w:rsid w:val="00FB6382"/>
    <w:rsid w:val="00FC3171"/>
    <w:rsid w:val="00FC36FF"/>
    <w:rsid w:val="00FC6A1A"/>
    <w:rsid w:val="00FD0FC2"/>
    <w:rsid w:val="00FD1CF9"/>
    <w:rsid w:val="00FD492B"/>
    <w:rsid w:val="00FE103A"/>
    <w:rsid w:val="00FE23BC"/>
    <w:rsid w:val="00FE4037"/>
    <w:rsid w:val="00FE5335"/>
    <w:rsid w:val="00FE5CEB"/>
    <w:rsid w:val="00FF0F55"/>
    <w:rsid w:val="00FF5BE2"/>
    <w:rsid w:val="010158D6"/>
    <w:rsid w:val="010351AA"/>
    <w:rsid w:val="010B405F"/>
    <w:rsid w:val="0122795F"/>
    <w:rsid w:val="016043AA"/>
    <w:rsid w:val="016C71F3"/>
    <w:rsid w:val="01776158"/>
    <w:rsid w:val="01C54B35"/>
    <w:rsid w:val="01D803E5"/>
    <w:rsid w:val="01EF38C0"/>
    <w:rsid w:val="01F62F61"/>
    <w:rsid w:val="027A76EE"/>
    <w:rsid w:val="02BC4F06"/>
    <w:rsid w:val="02C95F7F"/>
    <w:rsid w:val="02CD3CC1"/>
    <w:rsid w:val="03062D2F"/>
    <w:rsid w:val="0341645D"/>
    <w:rsid w:val="037759DB"/>
    <w:rsid w:val="039119BF"/>
    <w:rsid w:val="03A10CAA"/>
    <w:rsid w:val="03B57E38"/>
    <w:rsid w:val="03C52BEB"/>
    <w:rsid w:val="03EA6449"/>
    <w:rsid w:val="03F1578E"/>
    <w:rsid w:val="041D47D5"/>
    <w:rsid w:val="04421C33"/>
    <w:rsid w:val="044955CA"/>
    <w:rsid w:val="04733276"/>
    <w:rsid w:val="04D4722A"/>
    <w:rsid w:val="04F15AD1"/>
    <w:rsid w:val="052847D0"/>
    <w:rsid w:val="052B12A6"/>
    <w:rsid w:val="0571055A"/>
    <w:rsid w:val="05926700"/>
    <w:rsid w:val="059B00A7"/>
    <w:rsid w:val="05CE4D44"/>
    <w:rsid w:val="05E03D0C"/>
    <w:rsid w:val="05F61781"/>
    <w:rsid w:val="05FE0636"/>
    <w:rsid w:val="061241BF"/>
    <w:rsid w:val="062152A2"/>
    <w:rsid w:val="06412167"/>
    <w:rsid w:val="0687062B"/>
    <w:rsid w:val="069C6231"/>
    <w:rsid w:val="06A74829"/>
    <w:rsid w:val="06E0335F"/>
    <w:rsid w:val="06F34038"/>
    <w:rsid w:val="07464042"/>
    <w:rsid w:val="07754928"/>
    <w:rsid w:val="07886409"/>
    <w:rsid w:val="07F25F78"/>
    <w:rsid w:val="07F77E4D"/>
    <w:rsid w:val="08391919"/>
    <w:rsid w:val="083C3EF2"/>
    <w:rsid w:val="0851632E"/>
    <w:rsid w:val="085B1D6F"/>
    <w:rsid w:val="08766BA9"/>
    <w:rsid w:val="087A479B"/>
    <w:rsid w:val="08836BD0"/>
    <w:rsid w:val="08BE29F7"/>
    <w:rsid w:val="08C276F9"/>
    <w:rsid w:val="08D172AE"/>
    <w:rsid w:val="08D96F67"/>
    <w:rsid w:val="08E47CBD"/>
    <w:rsid w:val="08EB5C99"/>
    <w:rsid w:val="09063A89"/>
    <w:rsid w:val="09473CE2"/>
    <w:rsid w:val="09595A6C"/>
    <w:rsid w:val="0972399A"/>
    <w:rsid w:val="097B740A"/>
    <w:rsid w:val="09945539"/>
    <w:rsid w:val="09B07E99"/>
    <w:rsid w:val="09E052C7"/>
    <w:rsid w:val="09E85885"/>
    <w:rsid w:val="09F47A36"/>
    <w:rsid w:val="09F63AFE"/>
    <w:rsid w:val="0A0F4BBF"/>
    <w:rsid w:val="0A2C03E0"/>
    <w:rsid w:val="0A2D3298"/>
    <w:rsid w:val="0A5A3E61"/>
    <w:rsid w:val="0AAE43D8"/>
    <w:rsid w:val="0AF73FD1"/>
    <w:rsid w:val="0AF93FD9"/>
    <w:rsid w:val="0B243944"/>
    <w:rsid w:val="0B301291"/>
    <w:rsid w:val="0B325009"/>
    <w:rsid w:val="0B537BAB"/>
    <w:rsid w:val="0B7C0033"/>
    <w:rsid w:val="0B8D0492"/>
    <w:rsid w:val="0BA25F56"/>
    <w:rsid w:val="0BAA6037"/>
    <w:rsid w:val="0BAD1BD9"/>
    <w:rsid w:val="0BB83F73"/>
    <w:rsid w:val="0BC33EB3"/>
    <w:rsid w:val="0BC8669E"/>
    <w:rsid w:val="0BD40F69"/>
    <w:rsid w:val="0BDE35D8"/>
    <w:rsid w:val="0BE61E7A"/>
    <w:rsid w:val="0BFE313E"/>
    <w:rsid w:val="0C4A3913"/>
    <w:rsid w:val="0C5B0590"/>
    <w:rsid w:val="0C6545FD"/>
    <w:rsid w:val="0C9615C8"/>
    <w:rsid w:val="0C9F66CF"/>
    <w:rsid w:val="0CB16402"/>
    <w:rsid w:val="0CC95831"/>
    <w:rsid w:val="0CD753EE"/>
    <w:rsid w:val="0CEC5F94"/>
    <w:rsid w:val="0D17743D"/>
    <w:rsid w:val="0D1A3FA7"/>
    <w:rsid w:val="0D1B185F"/>
    <w:rsid w:val="0D2564A8"/>
    <w:rsid w:val="0D365943"/>
    <w:rsid w:val="0D3B3F1D"/>
    <w:rsid w:val="0D5E3DDF"/>
    <w:rsid w:val="0D690A8B"/>
    <w:rsid w:val="0DB4163A"/>
    <w:rsid w:val="0DC363ED"/>
    <w:rsid w:val="0DCE6B40"/>
    <w:rsid w:val="0DDA54E4"/>
    <w:rsid w:val="0DE10795"/>
    <w:rsid w:val="0E082052"/>
    <w:rsid w:val="0E1704D3"/>
    <w:rsid w:val="0E193821"/>
    <w:rsid w:val="0E227B42"/>
    <w:rsid w:val="0E774700"/>
    <w:rsid w:val="0EA214E8"/>
    <w:rsid w:val="0EA63619"/>
    <w:rsid w:val="0EAF4BC3"/>
    <w:rsid w:val="0EE0705A"/>
    <w:rsid w:val="0EE355B1"/>
    <w:rsid w:val="0EEC3721"/>
    <w:rsid w:val="0F156190"/>
    <w:rsid w:val="0F2C7FC2"/>
    <w:rsid w:val="0F2E5AE8"/>
    <w:rsid w:val="0F48528B"/>
    <w:rsid w:val="0F4A0448"/>
    <w:rsid w:val="0F615EBD"/>
    <w:rsid w:val="0F746899"/>
    <w:rsid w:val="0F851480"/>
    <w:rsid w:val="0FBD0C1A"/>
    <w:rsid w:val="0FE20680"/>
    <w:rsid w:val="0FF52AA9"/>
    <w:rsid w:val="103714C7"/>
    <w:rsid w:val="10505F32"/>
    <w:rsid w:val="10596B94"/>
    <w:rsid w:val="106D471B"/>
    <w:rsid w:val="10737FF7"/>
    <w:rsid w:val="10850890"/>
    <w:rsid w:val="10855BDB"/>
    <w:rsid w:val="10993435"/>
    <w:rsid w:val="10A81CEE"/>
    <w:rsid w:val="10BB33AB"/>
    <w:rsid w:val="10C75DB2"/>
    <w:rsid w:val="1106668C"/>
    <w:rsid w:val="11381971"/>
    <w:rsid w:val="114B525B"/>
    <w:rsid w:val="1170203B"/>
    <w:rsid w:val="11987B90"/>
    <w:rsid w:val="119F5E4B"/>
    <w:rsid w:val="11DF131B"/>
    <w:rsid w:val="12074284"/>
    <w:rsid w:val="121536FF"/>
    <w:rsid w:val="121B7643"/>
    <w:rsid w:val="121F3E0E"/>
    <w:rsid w:val="1232769D"/>
    <w:rsid w:val="12503FC7"/>
    <w:rsid w:val="125C155C"/>
    <w:rsid w:val="126D6927"/>
    <w:rsid w:val="12A63A7D"/>
    <w:rsid w:val="12A843EA"/>
    <w:rsid w:val="12B5396B"/>
    <w:rsid w:val="12F2507E"/>
    <w:rsid w:val="13127EB7"/>
    <w:rsid w:val="13170937"/>
    <w:rsid w:val="138245D9"/>
    <w:rsid w:val="13826402"/>
    <w:rsid w:val="139E25CA"/>
    <w:rsid w:val="13B3226E"/>
    <w:rsid w:val="13DD5D2E"/>
    <w:rsid w:val="140C7E8E"/>
    <w:rsid w:val="14211AFA"/>
    <w:rsid w:val="144C07BE"/>
    <w:rsid w:val="146F4532"/>
    <w:rsid w:val="1481423B"/>
    <w:rsid w:val="14885C9A"/>
    <w:rsid w:val="148F7C0F"/>
    <w:rsid w:val="149B7C36"/>
    <w:rsid w:val="14E46507"/>
    <w:rsid w:val="15497959"/>
    <w:rsid w:val="156B673E"/>
    <w:rsid w:val="156E7814"/>
    <w:rsid w:val="15700B8E"/>
    <w:rsid w:val="157D3483"/>
    <w:rsid w:val="158D2D7F"/>
    <w:rsid w:val="159F25A4"/>
    <w:rsid w:val="15CB1C08"/>
    <w:rsid w:val="15CB73DB"/>
    <w:rsid w:val="160144A3"/>
    <w:rsid w:val="1607444C"/>
    <w:rsid w:val="160E3CB6"/>
    <w:rsid w:val="161D2575"/>
    <w:rsid w:val="16220FB0"/>
    <w:rsid w:val="166220A5"/>
    <w:rsid w:val="167F30CD"/>
    <w:rsid w:val="16817506"/>
    <w:rsid w:val="169C3C7F"/>
    <w:rsid w:val="16A36DBB"/>
    <w:rsid w:val="16CF4BD5"/>
    <w:rsid w:val="16FC64CC"/>
    <w:rsid w:val="17244FE3"/>
    <w:rsid w:val="17321EED"/>
    <w:rsid w:val="175977D3"/>
    <w:rsid w:val="177769E2"/>
    <w:rsid w:val="17824C23"/>
    <w:rsid w:val="178766DD"/>
    <w:rsid w:val="17AA4282"/>
    <w:rsid w:val="17C0574B"/>
    <w:rsid w:val="17D66D1D"/>
    <w:rsid w:val="17E73369"/>
    <w:rsid w:val="17EB6C6C"/>
    <w:rsid w:val="183D4A87"/>
    <w:rsid w:val="18702CCD"/>
    <w:rsid w:val="188449CB"/>
    <w:rsid w:val="18927FAF"/>
    <w:rsid w:val="19031D93"/>
    <w:rsid w:val="1914553B"/>
    <w:rsid w:val="192D0557"/>
    <w:rsid w:val="194303E2"/>
    <w:rsid w:val="194913DE"/>
    <w:rsid w:val="19510D51"/>
    <w:rsid w:val="19993EB2"/>
    <w:rsid w:val="199944A6"/>
    <w:rsid w:val="199D3F96"/>
    <w:rsid w:val="19A47EFE"/>
    <w:rsid w:val="19EA5208"/>
    <w:rsid w:val="19FD7388"/>
    <w:rsid w:val="1A141D7E"/>
    <w:rsid w:val="1A1F5546"/>
    <w:rsid w:val="1A270A5C"/>
    <w:rsid w:val="1A381F10"/>
    <w:rsid w:val="1A44069A"/>
    <w:rsid w:val="1AA605D7"/>
    <w:rsid w:val="1ACB28BB"/>
    <w:rsid w:val="1AED4F0A"/>
    <w:rsid w:val="1B0B3181"/>
    <w:rsid w:val="1B1C6F45"/>
    <w:rsid w:val="1B1D2492"/>
    <w:rsid w:val="1B3721C8"/>
    <w:rsid w:val="1BBB4480"/>
    <w:rsid w:val="1BE30E25"/>
    <w:rsid w:val="1C2344FA"/>
    <w:rsid w:val="1C44694B"/>
    <w:rsid w:val="1C822555"/>
    <w:rsid w:val="1CA26A88"/>
    <w:rsid w:val="1CBE3199"/>
    <w:rsid w:val="1CC034CB"/>
    <w:rsid w:val="1CDD6D9F"/>
    <w:rsid w:val="1CFD2F9D"/>
    <w:rsid w:val="1D1D719C"/>
    <w:rsid w:val="1D396D8E"/>
    <w:rsid w:val="1D4027FB"/>
    <w:rsid w:val="1D56725D"/>
    <w:rsid w:val="1D9C27B6"/>
    <w:rsid w:val="1DB16262"/>
    <w:rsid w:val="1DB200ED"/>
    <w:rsid w:val="1DD7559C"/>
    <w:rsid w:val="1DE17229"/>
    <w:rsid w:val="1E0F46B9"/>
    <w:rsid w:val="1E293E3D"/>
    <w:rsid w:val="1E37400E"/>
    <w:rsid w:val="1E7B061E"/>
    <w:rsid w:val="1EA57449"/>
    <w:rsid w:val="1EAE27A1"/>
    <w:rsid w:val="1ECC11B9"/>
    <w:rsid w:val="1F071EB1"/>
    <w:rsid w:val="1F150A69"/>
    <w:rsid w:val="1F294332"/>
    <w:rsid w:val="1F3507CD"/>
    <w:rsid w:val="1F576995"/>
    <w:rsid w:val="1F66307C"/>
    <w:rsid w:val="1F9B55EC"/>
    <w:rsid w:val="1F9C6A9E"/>
    <w:rsid w:val="1F9F0DB2"/>
    <w:rsid w:val="1FD32320"/>
    <w:rsid w:val="1FD61FB0"/>
    <w:rsid w:val="20054312"/>
    <w:rsid w:val="200B40F4"/>
    <w:rsid w:val="201523AC"/>
    <w:rsid w:val="20216FA3"/>
    <w:rsid w:val="202A22FB"/>
    <w:rsid w:val="203028AF"/>
    <w:rsid w:val="2047797F"/>
    <w:rsid w:val="20483368"/>
    <w:rsid w:val="20523600"/>
    <w:rsid w:val="20560211"/>
    <w:rsid w:val="206E043A"/>
    <w:rsid w:val="20991116"/>
    <w:rsid w:val="20A9292C"/>
    <w:rsid w:val="20B639C1"/>
    <w:rsid w:val="20C46571"/>
    <w:rsid w:val="20EC5803"/>
    <w:rsid w:val="20F402B8"/>
    <w:rsid w:val="210E5779"/>
    <w:rsid w:val="211811F0"/>
    <w:rsid w:val="21463165"/>
    <w:rsid w:val="219519F6"/>
    <w:rsid w:val="21B46321"/>
    <w:rsid w:val="221040FE"/>
    <w:rsid w:val="22151481"/>
    <w:rsid w:val="22350AE4"/>
    <w:rsid w:val="223714C0"/>
    <w:rsid w:val="223B434C"/>
    <w:rsid w:val="2279636B"/>
    <w:rsid w:val="22A02BD8"/>
    <w:rsid w:val="22F1611C"/>
    <w:rsid w:val="23017B20"/>
    <w:rsid w:val="23072480"/>
    <w:rsid w:val="231352C9"/>
    <w:rsid w:val="232F19D7"/>
    <w:rsid w:val="23307C29"/>
    <w:rsid w:val="23336A07"/>
    <w:rsid w:val="2358717F"/>
    <w:rsid w:val="235D02F2"/>
    <w:rsid w:val="235E1D26"/>
    <w:rsid w:val="2366189C"/>
    <w:rsid w:val="236838A3"/>
    <w:rsid w:val="23736DD4"/>
    <w:rsid w:val="239C52BE"/>
    <w:rsid w:val="239D1C07"/>
    <w:rsid w:val="23E50F1F"/>
    <w:rsid w:val="23F073B8"/>
    <w:rsid w:val="23FA1FE5"/>
    <w:rsid w:val="23FF13A9"/>
    <w:rsid w:val="242B219E"/>
    <w:rsid w:val="24477E2B"/>
    <w:rsid w:val="24685380"/>
    <w:rsid w:val="246D205E"/>
    <w:rsid w:val="24771B4C"/>
    <w:rsid w:val="2477460C"/>
    <w:rsid w:val="24AC1206"/>
    <w:rsid w:val="24D40A88"/>
    <w:rsid w:val="24D46CDA"/>
    <w:rsid w:val="24D665AE"/>
    <w:rsid w:val="2507306C"/>
    <w:rsid w:val="250E5D48"/>
    <w:rsid w:val="2516506F"/>
    <w:rsid w:val="251B2213"/>
    <w:rsid w:val="252B43FB"/>
    <w:rsid w:val="25423C43"/>
    <w:rsid w:val="254B6F9C"/>
    <w:rsid w:val="255F47F5"/>
    <w:rsid w:val="258E6E89"/>
    <w:rsid w:val="25B5736A"/>
    <w:rsid w:val="25BF61CF"/>
    <w:rsid w:val="25CB19DA"/>
    <w:rsid w:val="25D30D3F"/>
    <w:rsid w:val="25D51F9C"/>
    <w:rsid w:val="25F5515A"/>
    <w:rsid w:val="26712A32"/>
    <w:rsid w:val="26892ADA"/>
    <w:rsid w:val="26A00BFC"/>
    <w:rsid w:val="26C2534E"/>
    <w:rsid w:val="26DC072D"/>
    <w:rsid w:val="271B474C"/>
    <w:rsid w:val="271E6275"/>
    <w:rsid w:val="2729283D"/>
    <w:rsid w:val="273D78EF"/>
    <w:rsid w:val="274F2647"/>
    <w:rsid w:val="27C9064C"/>
    <w:rsid w:val="27E67E84"/>
    <w:rsid w:val="27E92A9C"/>
    <w:rsid w:val="284B672C"/>
    <w:rsid w:val="28612632"/>
    <w:rsid w:val="28A44C56"/>
    <w:rsid w:val="28D227F0"/>
    <w:rsid w:val="28D41056"/>
    <w:rsid w:val="28ED61D9"/>
    <w:rsid w:val="2916341D"/>
    <w:rsid w:val="29422464"/>
    <w:rsid w:val="29521CEB"/>
    <w:rsid w:val="295D65A9"/>
    <w:rsid w:val="296F0F7B"/>
    <w:rsid w:val="297840D8"/>
    <w:rsid w:val="29BD1D6E"/>
    <w:rsid w:val="29F319B0"/>
    <w:rsid w:val="2A0F57FC"/>
    <w:rsid w:val="2AC944BF"/>
    <w:rsid w:val="2AEF3F25"/>
    <w:rsid w:val="2AF8540A"/>
    <w:rsid w:val="2AFC4011"/>
    <w:rsid w:val="2B08148B"/>
    <w:rsid w:val="2B0B4AD7"/>
    <w:rsid w:val="2B160E6F"/>
    <w:rsid w:val="2B2F6FB4"/>
    <w:rsid w:val="2B3A4235"/>
    <w:rsid w:val="2B632B65"/>
    <w:rsid w:val="2B6761B2"/>
    <w:rsid w:val="2B7408CF"/>
    <w:rsid w:val="2B791AF2"/>
    <w:rsid w:val="2B9E594C"/>
    <w:rsid w:val="2BB1742D"/>
    <w:rsid w:val="2BC9287A"/>
    <w:rsid w:val="2BDD6474"/>
    <w:rsid w:val="2C555D4A"/>
    <w:rsid w:val="2C6170A5"/>
    <w:rsid w:val="2C695F59"/>
    <w:rsid w:val="2C99172D"/>
    <w:rsid w:val="2CA83A7D"/>
    <w:rsid w:val="2CC901ED"/>
    <w:rsid w:val="2CD31625"/>
    <w:rsid w:val="2D5409B8"/>
    <w:rsid w:val="2E263E03"/>
    <w:rsid w:val="2E3673EC"/>
    <w:rsid w:val="2E586286"/>
    <w:rsid w:val="2E5A0250"/>
    <w:rsid w:val="2E5D389C"/>
    <w:rsid w:val="2E6536FA"/>
    <w:rsid w:val="2E666BF4"/>
    <w:rsid w:val="2E6C6DA3"/>
    <w:rsid w:val="2E872E21"/>
    <w:rsid w:val="2EA17C2D"/>
    <w:rsid w:val="2EA66FF1"/>
    <w:rsid w:val="2EBA2A9C"/>
    <w:rsid w:val="2EBF00B3"/>
    <w:rsid w:val="2EE1079F"/>
    <w:rsid w:val="2EE43FBD"/>
    <w:rsid w:val="2EE51598"/>
    <w:rsid w:val="2F1C3757"/>
    <w:rsid w:val="2F364819"/>
    <w:rsid w:val="2F464330"/>
    <w:rsid w:val="2F520F27"/>
    <w:rsid w:val="2FBD0A96"/>
    <w:rsid w:val="2FBE65BC"/>
    <w:rsid w:val="2FDD2EE6"/>
    <w:rsid w:val="2FEE50F3"/>
    <w:rsid w:val="300C7328"/>
    <w:rsid w:val="301937F3"/>
    <w:rsid w:val="302A1FA7"/>
    <w:rsid w:val="30484B1E"/>
    <w:rsid w:val="308905E0"/>
    <w:rsid w:val="309C4B4F"/>
    <w:rsid w:val="30A819CC"/>
    <w:rsid w:val="30A85FDA"/>
    <w:rsid w:val="30C145B6"/>
    <w:rsid w:val="30CA72FD"/>
    <w:rsid w:val="30CB0F91"/>
    <w:rsid w:val="30E3452C"/>
    <w:rsid w:val="310821E5"/>
    <w:rsid w:val="31230DCD"/>
    <w:rsid w:val="314F5699"/>
    <w:rsid w:val="31594282"/>
    <w:rsid w:val="31AA6DF8"/>
    <w:rsid w:val="31E45467"/>
    <w:rsid w:val="323048E9"/>
    <w:rsid w:val="323F1D96"/>
    <w:rsid w:val="32455753"/>
    <w:rsid w:val="326276D3"/>
    <w:rsid w:val="32805DAB"/>
    <w:rsid w:val="328C26D9"/>
    <w:rsid w:val="328E671A"/>
    <w:rsid w:val="329770CE"/>
    <w:rsid w:val="32A55657"/>
    <w:rsid w:val="32C20D47"/>
    <w:rsid w:val="32D06266"/>
    <w:rsid w:val="32FF69F4"/>
    <w:rsid w:val="331C5DE8"/>
    <w:rsid w:val="335177AB"/>
    <w:rsid w:val="33747866"/>
    <w:rsid w:val="33883169"/>
    <w:rsid w:val="33BE01E1"/>
    <w:rsid w:val="33C51903"/>
    <w:rsid w:val="347C2968"/>
    <w:rsid w:val="34A75871"/>
    <w:rsid w:val="34B166F0"/>
    <w:rsid w:val="34B306BA"/>
    <w:rsid w:val="34C65044"/>
    <w:rsid w:val="34C9681F"/>
    <w:rsid w:val="34CA0D23"/>
    <w:rsid w:val="34D07801"/>
    <w:rsid w:val="34E20370"/>
    <w:rsid w:val="34EC1683"/>
    <w:rsid w:val="35353D4F"/>
    <w:rsid w:val="35545CD4"/>
    <w:rsid w:val="35683197"/>
    <w:rsid w:val="35807D07"/>
    <w:rsid w:val="358A15DB"/>
    <w:rsid w:val="35C11842"/>
    <w:rsid w:val="35C2123C"/>
    <w:rsid w:val="35D15E83"/>
    <w:rsid w:val="35DE3514"/>
    <w:rsid w:val="36092D84"/>
    <w:rsid w:val="361C228F"/>
    <w:rsid w:val="36212E8F"/>
    <w:rsid w:val="363D46DF"/>
    <w:rsid w:val="363F162B"/>
    <w:rsid w:val="366940C0"/>
    <w:rsid w:val="36F20F1F"/>
    <w:rsid w:val="370A20E7"/>
    <w:rsid w:val="372431A9"/>
    <w:rsid w:val="37270EEB"/>
    <w:rsid w:val="376B0DD8"/>
    <w:rsid w:val="37A95DA4"/>
    <w:rsid w:val="37B0756F"/>
    <w:rsid w:val="37B24C58"/>
    <w:rsid w:val="37B85359"/>
    <w:rsid w:val="37E868CC"/>
    <w:rsid w:val="37EB016A"/>
    <w:rsid w:val="37F06328"/>
    <w:rsid w:val="37FA0E99"/>
    <w:rsid w:val="38042FDA"/>
    <w:rsid w:val="382845D6"/>
    <w:rsid w:val="38471845"/>
    <w:rsid w:val="384977AD"/>
    <w:rsid w:val="385D5DF7"/>
    <w:rsid w:val="385D6D40"/>
    <w:rsid w:val="38785C44"/>
    <w:rsid w:val="388D1222"/>
    <w:rsid w:val="3894610C"/>
    <w:rsid w:val="38AA423A"/>
    <w:rsid w:val="38E057F5"/>
    <w:rsid w:val="38F716E9"/>
    <w:rsid w:val="38FB3B56"/>
    <w:rsid w:val="3914549F"/>
    <w:rsid w:val="397C3770"/>
    <w:rsid w:val="397F18AA"/>
    <w:rsid w:val="39873EC3"/>
    <w:rsid w:val="39B628E9"/>
    <w:rsid w:val="39C12F31"/>
    <w:rsid w:val="39CB3DB0"/>
    <w:rsid w:val="3A391794"/>
    <w:rsid w:val="3A4D14B3"/>
    <w:rsid w:val="3A5244D1"/>
    <w:rsid w:val="3A712BA9"/>
    <w:rsid w:val="3A775CE5"/>
    <w:rsid w:val="3A9759BF"/>
    <w:rsid w:val="3AD55AFF"/>
    <w:rsid w:val="3AE25855"/>
    <w:rsid w:val="3AFF1B61"/>
    <w:rsid w:val="3B141786"/>
    <w:rsid w:val="3B4C0F20"/>
    <w:rsid w:val="3B96663F"/>
    <w:rsid w:val="3BBB17B3"/>
    <w:rsid w:val="3BF515B8"/>
    <w:rsid w:val="3C0A2B23"/>
    <w:rsid w:val="3C3F394C"/>
    <w:rsid w:val="3C4131D2"/>
    <w:rsid w:val="3C8B267B"/>
    <w:rsid w:val="3C92251C"/>
    <w:rsid w:val="3CBE1C6F"/>
    <w:rsid w:val="3D0C7EE5"/>
    <w:rsid w:val="3D1C4922"/>
    <w:rsid w:val="3D7B789B"/>
    <w:rsid w:val="3D936029"/>
    <w:rsid w:val="3DC44FD1"/>
    <w:rsid w:val="3DDD0555"/>
    <w:rsid w:val="3DDE1D1E"/>
    <w:rsid w:val="3DE417D8"/>
    <w:rsid w:val="3DE74F30"/>
    <w:rsid w:val="3DEB34F6"/>
    <w:rsid w:val="3DEC2546"/>
    <w:rsid w:val="3E0E7BD0"/>
    <w:rsid w:val="3E2229B1"/>
    <w:rsid w:val="3E391C70"/>
    <w:rsid w:val="3E3E7246"/>
    <w:rsid w:val="3E6532EA"/>
    <w:rsid w:val="3E7B2CD0"/>
    <w:rsid w:val="3EB5291E"/>
    <w:rsid w:val="3EC51715"/>
    <w:rsid w:val="3ED875A5"/>
    <w:rsid w:val="3EE76244"/>
    <w:rsid w:val="3F113F61"/>
    <w:rsid w:val="3F19020E"/>
    <w:rsid w:val="3F224721"/>
    <w:rsid w:val="3F285C7B"/>
    <w:rsid w:val="3F2C52F0"/>
    <w:rsid w:val="3F390269"/>
    <w:rsid w:val="3F7D3D9E"/>
    <w:rsid w:val="3F9A42C5"/>
    <w:rsid w:val="3FAA090B"/>
    <w:rsid w:val="3FCE63A8"/>
    <w:rsid w:val="3FD02685"/>
    <w:rsid w:val="3FE45BCB"/>
    <w:rsid w:val="3FF5663E"/>
    <w:rsid w:val="40267F92"/>
    <w:rsid w:val="403A57EB"/>
    <w:rsid w:val="40B332DE"/>
    <w:rsid w:val="40E75EAD"/>
    <w:rsid w:val="40EA7211"/>
    <w:rsid w:val="410A1661"/>
    <w:rsid w:val="413D3239"/>
    <w:rsid w:val="415154E2"/>
    <w:rsid w:val="41526B64"/>
    <w:rsid w:val="415820EB"/>
    <w:rsid w:val="41850CE8"/>
    <w:rsid w:val="41B617E9"/>
    <w:rsid w:val="41F84FCD"/>
    <w:rsid w:val="421D7172"/>
    <w:rsid w:val="422B7AE1"/>
    <w:rsid w:val="424A586D"/>
    <w:rsid w:val="42660B19"/>
    <w:rsid w:val="427F1BDB"/>
    <w:rsid w:val="428A414B"/>
    <w:rsid w:val="429F402B"/>
    <w:rsid w:val="42A772EB"/>
    <w:rsid w:val="42B63B0E"/>
    <w:rsid w:val="42C52901"/>
    <w:rsid w:val="42DD6902"/>
    <w:rsid w:val="431B6011"/>
    <w:rsid w:val="433D457C"/>
    <w:rsid w:val="4348419A"/>
    <w:rsid w:val="435E5C94"/>
    <w:rsid w:val="437A2465"/>
    <w:rsid w:val="43803E5D"/>
    <w:rsid w:val="43910F3B"/>
    <w:rsid w:val="43DB1FD4"/>
    <w:rsid w:val="43F719D9"/>
    <w:rsid w:val="44246EDE"/>
    <w:rsid w:val="44256D96"/>
    <w:rsid w:val="442962A2"/>
    <w:rsid w:val="443D3AFC"/>
    <w:rsid w:val="44625D23"/>
    <w:rsid w:val="44896D41"/>
    <w:rsid w:val="44AB6CB7"/>
    <w:rsid w:val="453F38A4"/>
    <w:rsid w:val="45440EBA"/>
    <w:rsid w:val="45A007E6"/>
    <w:rsid w:val="45A13CC3"/>
    <w:rsid w:val="45A2455E"/>
    <w:rsid w:val="45EC3A2B"/>
    <w:rsid w:val="462E5DF2"/>
    <w:rsid w:val="464161C8"/>
    <w:rsid w:val="465518B7"/>
    <w:rsid w:val="46582E6F"/>
    <w:rsid w:val="46F22D09"/>
    <w:rsid w:val="46F506BE"/>
    <w:rsid w:val="46F87BA3"/>
    <w:rsid w:val="46FF195D"/>
    <w:rsid w:val="470152B5"/>
    <w:rsid w:val="471548BC"/>
    <w:rsid w:val="474B65C4"/>
    <w:rsid w:val="475F022D"/>
    <w:rsid w:val="478D2B2A"/>
    <w:rsid w:val="47AD69D5"/>
    <w:rsid w:val="47E50732"/>
    <w:rsid w:val="48054931"/>
    <w:rsid w:val="48231FD9"/>
    <w:rsid w:val="48595C23"/>
    <w:rsid w:val="485A1120"/>
    <w:rsid w:val="486A78DE"/>
    <w:rsid w:val="487C174B"/>
    <w:rsid w:val="488E2B78"/>
    <w:rsid w:val="489C55C1"/>
    <w:rsid w:val="48B9571B"/>
    <w:rsid w:val="48C742DC"/>
    <w:rsid w:val="48D67CB3"/>
    <w:rsid w:val="48E33ACF"/>
    <w:rsid w:val="49211C3E"/>
    <w:rsid w:val="49667651"/>
    <w:rsid w:val="497258CD"/>
    <w:rsid w:val="49AC70F5"/>
    <w:rsid w:val="49AE2F15"/>
    <w:rsid w:val="49EE407D"/>
    <w:rsid w:val="4A28470C"/>
    <w:rsid w:val="4A2F3EE7"/>
    <w:rsid w:val="4A4756D4"/>
    <w:rsid w:val="4A4D25BF"/>
    <w:rsid w:val="4A5E5EA3"/>
    <w:rsid w:val="4A653DAC"/>
    <w:rsid w:val="4A6C0C97"/>
    <w:rsid w:val="4A712751"/>
    <w:rsid w:val="4AAA6A80"/>
    <w:rsid w:val="4AB16FF2"/>
    <w:rsid w:val="4AC62A9D"/>
    <w:rsid w:val="4AEE3DA2"/>
    <w:rsid w:val="4AF60D43"/>
    <w:rsid w:val="4AF84C20"/>
    <w:rsid w:val="4B1D4687"/>
    <w:rsid w:val="4B220E73"/>
    <w:rsid w:val="4B4A14ED"/>
    <w:rsid w:val="4B575AE6"/>
    <w:rsid w:val="4B6D116B"/>
    <w:rsid w:val="4B9A1834"/>
    <w:rsid w:val="4C1E06B7"/>
    <w:rsid w:val="4C412297"/>
    <w:rsid w:val="4C45481B"/>
    <w:rsid w:val="4C523EBC"/>
    <w:rsid w:val="4C58096C"/>
    <w:rsid w:val="4C800A2A"/>
    <w:rsid w:val="4CB25C96"/>
    <w:rsid w:val="4CD30C10"/>
    <w:rsid w:val="4D1A3B50"/>
    <w:rsid w:val="4D237CD5"/>
    <w:rsid w:val="4D401408"/>
    <w:rsid w:val="4D565C2E"/>
    <w:rsid w:val="4D987FF5"/>
    <w:rsid w:val="4DAC13C8"/>
    <w:rsid w:val="4DC332C4"/>
    <w:rsid w:val="4DDB1310"/>
    <w:rsid w:val="4DDC25D7"/>
    <w:rsid w:val="4DF0398D"/>
    <w:rsid w:val="4E0336C0"/>
    <w:rsid w:val="4E257ADB"/>
    <w:rsid w:val="4E3566E4"/>
    <w:rsid w:val="4E3D2825"/>
    <w:rsid w:val="4E4734D4"/>
    <w:rsid w:val="4E791BD4"/>
    <w:rsid w:val="4E9C58C3"/>
    <w:rsid w:val="4EA72DF4"/>
    <w:rsid w:val="4ECE1328"/>
    <w:rsid w:val="4EF92D15"/>
    <w:rsid w:val="4F082E4E"/>
    <w:rsid w:val="4F0E67C1"/>
    <w:rsid w:val="4F1C63AF"/>
    <w:rsid w:val="4F245FE4"/>
    <w:rsid w:val="4F582A52"/>
    <w:rsid w:val="4F626B0C"/>
    <w:rsid w:val="4F7D1E19"/>
    <w:rsid w:val="4F7F146C"/>
    <w:rsid w:val="4F806F93"/>
    <w:rsid w:val="4F9009A8"/>
    <w:rsid w:val="4F960564"/>
    <w:rsid w:val="4FA312A5"/>
    <w:rsid w:val="4FB235F0"/>
    <w:rsid w:val="4FCB1585"/>
    <w:rsid w:val="4FD23C92"/>
    <w:rsid w:val="4FF754A7"/>
    <w:rsid w:val="500F6434"/>
    <w:rsid w:val="501E6ED7"/>
    <w:rsid w:val="50290169"/>
    <w:rsid w:val="50305133"/>
    <w:rsid w:val="5032028D"/>
    <w:rsid w:val="503F0BFC"/>
    <w:rsid w:val="5040235C"/>
    <w:rsid w:val="50493828"/>
    <w:rsid w:val="504C60D4"/>
    <w:rsid w:val="505C17AE"/>
    <w:rsid w:val="505F4DFA"/>
    <w:rsid w:val="506F14E1"/>
    <w:rsid w:val="50966A6E"/>
    <w:rsid w:val="50AD025B"/>
    <w:rsid w:val="50BC224C"/>
    <w:rsid w:val="50BC57D6"/>
    <w:rsid w:val="50F778E4"/>
    <w:rsid w:val="50FD4D3F"/>
    <w:rsid w:val="50FE4613"/>
    <w:rsid w:val="50FF3217"/>
    <w:rsid w:val="511C7253"/>
    <w:rsid w:val="513F1D46"/>
    <w:rsid w:val="515D57DD"/>
    <w:rsid w:val="516F3402"/>
    <w:rsid w:val="51870AAC"/>
    <w:rsid w:val="51A90A23"/>
    <w:rsid w:val="51F577C4"/>
    <w:rsid w:val="52134EB2"/>
    <w:rsid w:val="5252551D"/>
    <w:rsid w:val="527E3C5D"/>
    <w:rsid w:val="52AB21A1"/>
    <w:rsid w:val="53000B16"/>
    <w:rsid w:val="535824DE"/>
    <w:rsid w:val="535A6478"/>
    <w:rsid w:val="53BD3B91"/>
    <w:rsid w:val="53E45D42"/>
    <w:rsid w:val="53E7531C"/>
    <w:rsid w:val="53EE096F"/>
    <w:rsid w:val="5415414D"/>
    <w:rsid w:val="54240834"/>
    <w:rsid w:val="5434276E"/>
    <w:rsid w:val="546141E6"/>
    <w:rsid w:val="5463310B"/>
    <w:rsid w:val="54752E3E"/>
    <w:rsid w:val="547E7F44"/>
    <w:rsid w:val="54843081"/>
    <w:rsid w:val="548B440F"/>
    <w:rsid w:val="54F621D1"/>
    <w:rsid w:val="55331C48"/>
    <w:rsid w:val="5543118E"/>
    <w:rsid w:val="555476ED"/>
    <w:rsid w:val="55575D1B"/>
    <w:rsid w:val="55C3336F"/>
    <w:rsid w:val="55D43B94"/>
    <w:rsid w:val="55DB3F9E"/>
    <w:rsid w:val="55E14C80"/>
    <w:rsid w:val="55E74FE1"/>
    <w:rsid w:val="560472E9"/>
    <w:rsid w:val="562B5EAA"/>
    <w:rsid w:val="56352885"/>
    <w:rsid w:val="564A382F"/>
    <w:rsid w:val="566F2722"/>
    <w:rsid w:val="56717635"/>
    <w:rsid w:val="568E5C3E"/>
    <w:rsid w:val="56984E73"/>
    <w:rsid w:val="56AE2289"/>
    <w:rsid w:val="56F52014"/>
    <w:rsid w:val="571C3A45"/>
    <w:rsid w:val="571F6509"/>
    <w:rsid w:val="57284198"/>
    <w:rsid w:val="573C1D9E"/>
    <w:rsid w:val="57AA31CD"/>
    <w:rsid w:val="57C739B1"/>
    <w:rsid w:val="582F1556"/>
    <w:rsid w:val="584119B5"/>
    <w:rsid w:val="58615BB3"/>
    <w:rsid w:val="586B764B"/>
    <w:rsid w:val="589917F1"/>
    <w:rsid w:val="58E04ED5"/>
    <w:rsid w:val="590824D3"/>
    <w:rsid w:val="59192495"/>
    <w:rsid w:val="59260A9D"/>
    <w:rsid w:val="59554FEC"/>
    <w:rsid w:val="598721A5"/>
    <w:rsid w:val="59A26483"/>
    <w:rsid w:val="59C208D3"/>
    <w:rsid w:val="59C96098"/>
    <w:rsid w:val="5A101114"/>
    <w:rsid w:val="5A310D63"/>
    <w:rsid w:val="5A4C4641"/>
    <w:rsid w:val="5A6E0A5B"/>
    <w:rsid w:val="5A7E6DA4"/>
    <w:rsid w:val="5A7F1C84"/>
    <w:rsid w:val="5A8E4C59"/>
    <w:rsid w:val="5A9D63C5"/>
    <w:rsid w:val="5AAD3DF1"/>
    <w:rsid w:val="5ABB079A"/>
    <w:rsid w:val="5ABE4EAA"/>
    <w:rsid w:val="5AC73CC7"/>
    <w:rsid w:val="5ACE32A8"/>
    <w:rsid w:val="5AE255C8"/>
    <w:rsid w:val="5AE669E3"/>
    <w:rsid w:val="5AFF16B3"/>
    <w:rsid w:val="5B095C3B"/>
    <w:rsid w:val="5B353E90"/>
    <w:rsid w:val="5B386806"/>
    <w:rsid w:val="5B48305A"/>
    <w:rsid w:val="5B8F0C89"/>
    <w:rsid w:val="5BB71F8E"/>
    <w:rsid w:val="5BC36B85"/>
    <w:rsid w:val="5BD9208C"/>
    <w:rsid w:val="5BEE68B2"/>
    <w:rsid w:val="5BF0735C"/>
    <w:rsid w:val="5BF64864"/>
    <w:rsid w:val="5C2F5FC8"/>
    <w:rsid w:val="5C7834CB"/>
    <w:rsid w:val="5CCA059E"/>
    <w:rsid w:val="5CD5091E"/>
    <w:rsid w:val="5CE04A5F"/>
    <w:rsid w:val="5CF6693B"/>
    <w:rsid w:val="5CF865E1"/>
    <w:rsid w:val="5D2D69AC"/>
    <w:rsid w:val="5D551A5E"/>
    <w:rsid w:val="5D771042"/>
    <w:rsid w:val="5D79752D"/>
    <w:rsid w:val="5D850596"/>
    <w:rsid w:val="5D9E51B4"/>
    <w:rsid w:val="5DA6054A"/>
    <w:rsid w:val="5DAF73C1"/>
    <w:rsid w:val="5DE3047A"/>
    <w:rsid w:val="5E1436C8"/>
    <w:rsid w:val="5E1E58F0"/>
    <w:rsid w:val="5E716CD3"/>
    <w:rsid w:val="5E8117C9"/>
    <w:rsid w:val="5E8D4131"/>
    <w:rsid w:val="5E96232F"/>
    <w:rsid w:val="5EC6411E"/>
    <w:rsid w:val="5EF157B7"/>
    <w:rsid w:val="5F08322C"/>
    <w:rsid w:val="5F13209B"/>
    <w:rsid w:val="5F23665C"/>
    <w:rsid w:val="5F644FAC"/>
    <w:rsid w:val="5F685A79"/>
    <w:rsid w:val="5F6D12E1"/>
    <w:rsid w:val="5FA952B2"/>
    <w:rsid w:val="5FB82366"/>
    <w:rsid w:val="5FBB641C"/>
    <w:rsid w:val="5FC72854"/>
    <w:rsid w:val="5FD55342"/>
    <w:rsid w:val="5FDC6467"/>
    <w:rsid w:val="600A0901"/>
    <w:rsid w:val="60151D76"/>
    <w:rsid w:val="601E082E"/>
    <w:rsid w:val="602B1E68"/>
    <w:rsid w:val="604C0EF7"/>
    <w:rsid w:val="6085265B"/>
    <w:rsid w:val="60870181"/>
    <w:rsid w:val="60902C11"/>
    <w:rsid w:val="60C43183"/>
    <w:rsid w:val="60C70EC5"/>
    <w:rsid w:val="60FA2FDC"/>
    <w:rsid w:val="612C6F7A"/>
    <w:rsid w:val="613100ED"/>
    <w:rsid w:val="61396F4E"/>
    <w:rsid w:val="618B1EF3"/>
    <w:rsid w:val="61AA277B"/>
    <w:rsid w:val="61C84EF5"/>
    <w:rsid w:val="61D5316E"/>
    <w:rsid w:val="61F96FB8"/>
    <w:rsid w:val="61FA2BD4"/>
    <w:rsid w:val="62285994"/>
    <w:rsid w:val="623E6B5E"/>
    <w:rsid w:val="6243253D"/>
    <w:rsid w:val="6243605F"/>
    <w:rsid w:val="626E095F"/>
    <w:rsid w:val="62742987"/>
    <w:rsid w:val="6280757E"/>
    <w:rsid w:val="62AE40EB"/>
    <w:rsid w:val="62F85366"/>
    <w:rsid w:val="63040DEB"/>
    <w:rsid w:val="631B6240"/>
    <w:rsid w:val="63247F09"/>
    <w:rsid w:val="632E0D88"/>
    <w:rsid w:val="636447A9"/>
    <w:rsid w:val="6364768C"/>
    <w:rsid w:val="63660521"/>
    <w:rsid w:val="6373518F"/>
    <w:rsid w:val="63BD210C"/>
    <w:rsid w:val="63BF5E84"/>
    <w:rsid w:val="63C40908"/>
    <w:rsid w:val="63C47A82"/>
    <w:rsid w:val="63C74CF9"/>
    <w:rsid w:val="63D062E3"/>
    <w:rsid w:val="63EE6769"/>
    <w:rsid w:val="64316606"/>
    <w:rsid w:val="64542A70"/>
    <w:rsid w:val="64610CE9"/>
    <w:rsid w:val="646A5DEF"/>
    <w:rsid w:val="64A15589"/>
    <w:rsid w:val="64AF5EF8"/>
    <w:rsid w:val="64C03C61"/>
    <w:rsid w:val="64D140C0"/>
    <w:rsid w:val="651B17E0"/>
    <w:rsid w:val="654C7BEB"/>
    <w:rsid w:val="65542417"/>
    <w:rsid w:val="6575538E"/>
    <w:rsid w:val="657A6506"/>
    <w:rsid w:val="657D1B52"/>
    <w:rsid w:val="65907AD8"/>
    <w:rsid w:val="65C40356"/>
    <w:rsid w:val="65C92FEA"/>
    <w:rsid w:val="65E663B9"/>
    <w:rsid w:val="65E90AB1"/>
    <w:rsid w:val="65E971E8"/>
    <w:rsid w:val="65F07DFC"/>
    <w:rsid w:val="6649125A"/>
    <w:rsid w:val="664F7993"/>
    <w:rsid w:val="66566A29"/>
    <w:rsid w:val="66655FA4"/>
    <w:rsid w:val="66DE1FD0"/>
    <w:rsid w:val="66E05591"/>
    <w:rsid w:val="66E53E53"/>
    <w:rsid w:val="6707201B"/>
    <w:rsid w:val="67386679"/>
    <w:rsid w:val="67696B52"/>
    <w:rsid w:val="67780823"/>
    <w:rsid w:val="677F6056"/>
    <w:rsid w:val="67861828"/>
    <w:rsid w:val="679E5D59"/>
    <w:rsid w:val="67B70783"/>
    <w:rsid w:val="67F41B11"/>
    <w:rsid w:val="67FA5D46"/>
    <w:rsid w:val="67FB3202"/>
    <w:rsid w:val="68024591"/>
    <w:rsid w:val="68273463"/>
    <w:rsid w:val="682E182A"/>
    <w:rsid w:val="6830186B"/>
    <w:rsid w:val="685C56E9"/>
    <w:rsid w:val="68906041"/>
    <w:rsid w:val="68B735CD"/>
    <w:rsid w:val="68CD3373"/>
    <w:rsid w:val="68D26659"/>
    <w:rsid w:val="68E5202A"/>
    <w:rsid w:val="68FF5A2E"/>
    <w:rsid w:val="69081569"/>
    <w:rsid w:val="69083E29"/>
    <w:rsid w:val="690D143F"/>
    <w:rsid w:val="691C6622"/>
    <w:rsid w:val="691F746E"/>
    <w:rsid w:val="694806C9"/>
    <w:rsid w:val="694C629E"/>
    <w:rsid w:val="695321F2"/>
    <w:rsid w:val="69833C19"/>
    <w:rsid w:val="69891F83"/>
    <w:rsid w:val="69A27F00"/>
    <w:rsid w:val="69B75E1F"/>
    <w:rsid w:val="69CF06F5"/>
    <w:rsid w:val="69DB0E38"/>
    <w:rsid w:val="69F63732"/>
    <w:rsid w:val="6A164324"/>
    <w:rsid w:val="6A8E16E0"/>
    <w:rsid w:val="6A900BCC"/>
    <w:rsid w:val="6AC975E8"/>
    <w:rsid w:val="6AD519BD"/>
    <w:rsid w:val="6AD83814"/>
    <w:rsid w:val="6AF63F7B"/>
    <w:rsid w:val="6B201456"/>
    <w:rsid w:val="6B281EF7"/>
    <w:rsid w:val="6B454EC0"/>
    <w:rsid w:val="6B487002"/>
    <w:rsid w:val="6B5C6A64"/>
    <w:rsid w:val="6BD90F62"/>
    <w:rsid w:val="6BDC3BB6"/>
    <w:rsid w:val="6BE2029D"/>
    <w:rsid w:val="6BF3491C"/>
    <w:rsid w:val="6C0134DD"/>
    <w:rsid w:val="6C186A79"/>
    <w:rsid w:val="6C376EFF"/>
    <w:rsid w:val="6C4B4758"/>
    <w:rsid w:val="6C7C2E98"/>
    <w:rsid w:val="6C9205D9"/>
    <w:rsid w:val="6C9360FF"/>
    <w:rsid w:val="6CC9630F"/>
    <w:rsid w:val="6CCB0A33"/>
    <w:rsid w:val="6CDA6FA9"/>
    <w:rsid w:val="6CDE381E"/>
    <w:rsid w:val="6CE26791"/>
    <w:rsid w:val="6CFB6B24"/>
    <w:rsid w:val="6D090170"/>
    <w:rsid w:val="6DE84A40"/>
    <w:rsid w:val="6DFC6222"/>
    <w:rsid w:val="6E4E6782"/>
    <w:rsid w:val="6E6E472E"/>
    <w:rsid w:val="6EB56801"/>
    <w:rsid w:val="6ED24CBD"/>
    <w:rsid w:val="6ED528DE"/>
    <w:rsid w:val="6ED776F0"/>
    <w:rsid w:val="6EE8564F"/>
    <w:rsid w:val="6EF53865"/>
    <w:rsid w:val="6EFF182A"/>
    <w:rsid w:val="6F081FDC"/>
    <w:rsid w:val="6F122A87"/>
    <w:rsid w:val="6F20011E"/>
    <w:rsid w:val="6F355C1A"/>
    <w:rsid w:val="6F767D3E"/>
    <w:rsid w:val="6F8B1310"/>
    <w:rsid w:val="6FC82564"/>
    <w:rsid w:val="700139AE"/>
    <w:rsid w:val="700F3AB9"/>
    <w:rsid w:val="701D640C"/>
    <w:rsid w:val="702A21AF"/>
    <w:rsid w:val="704F233D"/>
    <w:rsid w:val="70545BA6"/>
    <w:rsid w:val="70726596"/>
    <w:rsid w:val="70756248"/>
    <w:rsid w:val="70952446"/>
    <w:rsid w:val="70A1703D"/>
    <w:rsid w:val="70E70C90"/>
    <w:rsid w:val="712A2F15"/>
    <w:rsid w:val="715F3F7E"/>
    <w:rsid w:val="71756806"/>
    <w:rsid w:val="71770FBF"/>
    <w:rsid w:val="71883AC0"/>
    <w:rsid w:val="71884178"/>
    <w:rsid w:val="71C034F3"/>
    <w:rsid w:val="71D074AE"/>
    <w:rsid w:val="71D76A8E"/>
    <w:rsid w:val="729B314C"/>
    <w:rsid w:val="72B9102C"/>
    <w:rsid w:val="72E41463"/>
    <w:rsid w:val="72E47CEC"/>
    <w:rsid w:val="72FB418A"/>
    <w:rsid w:val="73075151"/>
    <w:rsid w:val="73261A7B"/>
    <w:rsid w:val="735D4328"/>
    <w:rsid w:val="7360698F"/>
    <w:rsid w:val="736600CA"/>
    <w:rsid w:val="736E6F7E"/>
    <w:rsid w:val="7370498D"/>
    <w:rsid w:val="73C01974"/>
    <w:rsid w:val="73D76F5F"/>
    <w:rsid w:val="73ED4347"/>
    <w:rsid w:val="73FA5252"/>
    <w:rsid w:val="74100036"/>
    <w:rsid w:val="741C1198"/>
    <w:rsid w:val="74244545"/>
    <w:rsid w:val="743B1556"/>
    <w:rsid w:val="744E24C2"/>
    <w:rsid w:val="749B1616"/>
    <w:rsid w:val="74A9506F"/>
    <w:rsid w:val="74BC49BC"/>
    <w:rsid w:val="74BF61EB"/>
    <w:rsid w:val="74FD4A5E"/>
    <w:rsid w:val="750158DE"/>
    <w:rsid w:val="75104791"/>
    <w:rsid w:val="751604DE"/>
    <w:rsid w:val="75660855"/>
    <w:rsid w:val="75942392"/>
    <w:rsid w:val="75963F28"/>
    <w:rsid w:val="75991CE6"/>
    <w:rsid w:val="75A1363B"/>
    <w:rsid w:val="75DF4163"/>
    <w:rsid w:val="75E74C1C"/>
    <w:rsid w:val="75E805F2"/>
    <w:rsid w:val="75EB3210"/>
    <w:rsid w:val="75F47C0F"/>
    <w:rsid w:val="761958C7"/>
    <w:rsid w:val="762F50EB"/>
    <w:rsid w:val="7662101C"/>
    <w:rsid w:val="76B61368"/>
    <w:rsid w:val="76C3652E"/>
    <w:rsid w:val="76CD7B2E"/>
    <w:rsid w:val="76D0242A"/>
    <w:rsid w:val="76E01F41"/>
    <w:rsid w:val="76E220FA"/>
    <w:rsid w:val="76EE28B0"/>
    <w:rsid w:val="76F66A2F"/>
    <w:rsid w:val="77701517"/>
    <w:rsid w:val="777032C5"/>
    <w:rsid w:val="777611F0"/>
    <w:rsid w:val="77A2719E"/>
    <w:rsid w:val="77B07B7C"/>
    <w:rsid w:val="77C27899"/>
    <w:rsid w:val="77D76995"/>
    <w:rsid w:val="77EA5A1C"/>
    <w:rsid w:val="77EC3318"/>
    <w:rsid w:val="782013CC"/>
    <w:rsid w:val="782567A5"/>
    <w:rsid w:val="784604CA"/>
    <w:rsid w:val="784F55D0"/>
    <w:rsid w:val="78554193"/>
    <w:rsid w:val="786A065C"/>
    <w:rsid w:val="788039DC"/>
    <w:rsid w:val="78917997"/>
    <w:rsid w:val="78AD3120"/>
    <w:rsid w:val="78BC0CF1"/>
    <w:rsid w:val="78C55915"/>
    <w:rsid w:val="790E0FE8"/>
    <w:rsid w:val="792E168A"/>
    <w:rsid w:val="793C4EF8"/>
    <w:rsid w:val="795310F0"/>
    <w:rsid w:val="795F7A95"/>
    <w:rsid w:val="79763600"/>
    <w:rsid w:val="79F93A46"/>
    <w:rsid w:val="7A067F11"/>
    <w:rsid w:val="7A135514"/>
    <w:rsid w:val="7A193C31"/>
    <w:rsid w:val="7A501C7D"/>
    <w:rsid w:val="7A517ADE"/>
    <w:rsid w:val="7A560E98"/>
    <w:rsid w:val="7A6F3D08"/>
    <w:rsid w:val="7AB05929"/>
    <w:rsid w:val="7AD16771"/>
    <w:rsid w:val="7AD93877"/>
    <w:rsid w:val="7B000E04"/>
    <w:rsid w:val="7B114DBF"/>
    <w:rsid w:val="7B6D0B2C"/>
    <w:rsid w:val="7B7524AA"/>
    <w:rsid w:val="7B964991"/>
    <w:rsid w:val="7BE40725"/>
    <w:rsid w:val="7BE44282"/>
    <w:rsid w:val="7BF328DF"/>
    <w:rsid w:val="7BF63FB9"/>
    <w:rsid w:val="7BF72207"/>
    <w:rsid w:val="7C325D97"/>
    <w:rsid w:val="7C330D65"/>
    <w:rsid w:val="7C376AA7"/>
    <w:rsid w:val="7C777E09"/>
    <w:rsid w:val="7CA0289E"/>
    <w:rsid w:val="7CC04678"/>
    <w:rsid w:val="7CC12815"/>
    <w:rsid w:val="7CDC31AB"/>
    <w:rsid w:val="7D747887"/>
    <w:rsid w:val="7D8B4E6C"/>
    <w:rsid w:val="7DC73E5B"/>
    <w:rsid w:val="7E1D6E58"/>
    <w:rsid w:val="7E1E7F1F"/>
    <w:rsid w:val="7E213BF0"/>
    <w:rsid w:val="7E3223E5"/>
    <w:rsid w:val="7E8D0C00"/>
    <w:rsid w:val="7E8F3593"/>
    <w:rsid w:val="7E9C57A9"/>
    <w:rsid w:val="7EA877E8"/>
    <w:rsid w:val="7EAA512E"/>
    <w:rsid w:val="7F012F32"/>
    <w:rsid w:val="7F494367"/>
    <w:rsid w:val="7F623E3B"/>
    <w:rsid w:val="7FF115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7"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6" w:semiHidden="0"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440" w:lineRule="exact"/>
      <w:jc w:val="both"/>
    </w:pPr>
    <w:rPr>
      <w:rFonts w:ascii="宋体" w:hAnsi="宋体" w:eastAsia="宋体" w:cstheme="minorBidi"/>
      <w:kern w:val="2"/>
      <w:sz w:val="24"/>
      <w:szCs w:val="24"/>
      <w:lang w:val="en-US" w:eastAsia="zh-CN" w:bidi="ar-SA"/>
    </w:rPr>
  </w:style>
  <w:style w:type="paragraph" w:styleId="3">
    <w:name w:val="heading 1"/>
    <w:basedOn w:val="1"/>
    <w:next w:val="1"/>
    <w:qFormat/>
    <w:uiPriority w:val="9"/>
    <w:pPr>
      <w:keepNext/>
      <w:keepLines/>
      <w:spacing w:line="578" w:lineRule="auto"/>
      <w:jc w:val="center"/>
      <w:outlineLvl w:val="0"/>
    </w:pPr>
    <w:rPr>
      <w:rFonts w:eastAsia="新宋体"/>
      <w:b/>
      <w:bCs/>
      <w:kern w:val="44"/>
      <w:sz w:val="30"/>
      <w:szCs w:val="44"/>
    </w:rPr>
  </w:style>
  <w:style w:type="paragraph" w:styleId="4">
    <w:name w:val="heading 3"/>
    <w:basedOn w:val="1"/>
    <w:next w:val="1"/>
    <w:link w:val="28"/>
    <w:qFormat/>
    <w:uiPriority w:val="0"/>
    <w:pPr>
      <w:keepNext/>
      <w:keepLines/>
      <w:spacing w:before="260" w:after="260" w:line="416" w:lineRule="auto"/>
      <w:outlineLvl w:val="2"/>
    </w:pPr>
    <w:rPr>
      <w:rFonts w:ascii="Times New Roman" w:hAnsi="Times New Roman" w:eastAsia="仿宋_GB2312" w:cs="Times New Roman"/>
      <w:b/>
      <w:bCs/>
      <w:sz w:val="28"/>
      <w:szCs w:val="32"/>
    </w:rPr>
  </w:style>
  <w:style w:type="paragraph" w:styleId="2">
    <w:name w:val="heading 4"/>
    <w:basedOn w:val="1"/>
    <w:next w:val="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7"/>
    <w:pPr>
      <w:ind w:firstLine="420"/>
    </w:pPr>
    <w:rPr>
      <w:rFonts w:eastAsia="楷体_GB2312"/>
    </w:rPr>
  </w:style>
  <w:style w:type="paragraph" w:styleId="6">
    <w:name w:val="annotation text"/>
    <w:basedOn w:val="1"/>
    <w:link w:val="38"/>
    <w:qFormat/>
    <w:uiPriority w:val="0"/>
    <w:pPr>
      <w:spacing w:line="274" w:lineRule="auto"/>
      <w:ind w:firstLine="200" w:firstLineChars="200"/>
      <w:jc w:val="left"/>
    </w:pPr>
    <w:rPr>
      <w:rFonts w:ascii="Calibri" w:hAnsi="Calibri" w:cs="Times New Roman"/>
    </w:rPr>
  </w:style>
  <w:style w:type="paragraph" w:styleId="7">
    <w:name w:val="Body Text"/>
    <w:basedOn w:val="1"/>
    <w:next w:val="8"/>
    <w:link w:val="33"/>
    <w:autoRedefine/>
    <w:qFormat/>
    <w:uiPriority w:val="0"/>
    <w:pPr>
      <w:ind w:firstLine="480" w:firstLineChars="200"/>
    </w:pPr>
    <w:rPr>
      <w:rFonts w:ascii="Times New Roman" w:hAnsi="Times New Roman"/>
    </w:rPr>
  </w:style>
  <w:style w:type="paragraph" w:customStyle="1" w:styleId="8">
    <w:name w:val="一级条标题"/>
    <w:basedOn w:val="9"/>
    <w:next w:val="10"/>
    <w:qFormat/>
    <w:uiPriority w:val="0"/>
    <w:pPr>
      <w:tabs>
        <w:tab w:val="left" w:pos="810"/>
        <w:tab w:val="left" w:pos="907"/>
        <w:tab w:val="left" w:pos="1265"/>
      </w:tabs>
      <w:spacing w:before="0" w:after="0"/>
      <w:ind w:left="907" w:hanging="907"/>
      <w:outlineLvl w:val="2"/>
    </w:pPr>
    <w:rPr>
      <w:rFonts w:hAnsi="宋体"/>
      <w:kern w:val="0"/>
      <w:sz w:val="20"/>
      <w:szCs w:val="20"/>
    </w:rPr>
  </w:style>
  <w:style w:type="paragraph" w:customStyle="1" w:styleId="9">
    <w:name w:val="章标题"/>
    <w:next w:val="1"/>
    <w:qFormat/>
    <w:uiPriority w:val="0"/>
    <w:pPr>
      <w:tabs>
        <w:tab w:val="left" w:pos="810"/>
        <w:tab w:val="left" w:pos="1265"/>
      </w:tabs>
      <w:spacing w:before="50" w:after="50"/>
      <w:ind w:left="810" w:hanging="810"/>
      <w:jc w:val="both"/>
      <w:outlineLvl w:val="1"/>
    </w:pPr>
    <w:rPr>
      <w:rFonts w:ascii="黑体" w:hAnsi="Times New Roman" w:eastAsia="黑体" w:cs="Times New Roman"/>
      <w:kern w:val="2"/>
      <w:sz w:val="21"/>
      <w:szCs w:val="22"/>
      <w:lang w:val="en-US" w:eastAsia="zh-CN" w:bidi="ar-SA"/>
    </w:rPr>
  </w:style>
  <w:style w:type="paragraph" w:customStyle="1" w:styleId="10">
    <w:name w:val="段"/>
    <w:basedOn w:val="1"/>
    <w:next w:val="1"/>
    <w:qFormat/>
    <w:uiPriority w:val="0"/>
    <w:pPr>
      <w:widowControl/>
      <w:autoSpaceDE w:val="0"/>
      <w:autoSpaceDN w:val="0"/>
      <w:ind w:firstLine="200" w:firstLineChars="200"/>
    </w:pPr>
    <w:rPr>
      <w:rFonts w:hint="eastAsia"/>
      <w:kern w:val="0"/>
      <w:szCs w:val="20"/>
    </w:rPr>
  </w:style>
  <w:style w:type="paragraph" w:styleId="11">
    <w:name w:val="Body Text Indent"/>
    <w:basedOn w:val="1"/>
    <w:semiHidden/>
    <w:unhideWhenUsed/>
    <w:qFormat/>
    <w:uiPriority w:val="99"/>
    <w:pPr>
      <w:spacing w:after="120"/>
      <w:ind w:left="420" w:leftChars="200"/>
    </w:pPr>
  </w:style>
  <w:style w:type="paragraph" w:styleId="12">
    <w:name w:val="Block Text"/>
    <w:basedOn w:val="1"/>
    <w:autoRedefine/>
    <w:qFormat/>
    <w:uiPriority w:val="6"/>
    <w:pPr>
      <w:ind w:left="420" w:right="33"/>
    </w:pPr>
  </w:style>
  <w:style w:type="paragraph" w:styleId="13">
    <w:name w:val="Plain Text"/>
    <w:basedOn w:val="1"/>
    <w:link w:val="34"/>
    <w:autoRedefine/>
    <w:qFormat/>
    <w:uiPriority w:val="0"/>
    <w:rPr>
      <w:rFonts w:hAnsi="Courier New"/>
    </w:rPr>
  </w:style>
  <w:style w:type="paragraph" w:styleId="14">
    <w:name w:val="Balloon Text"/>
    <w:basedOn w:val="1"/>
    <w:link w:val="43"/>
    <w:semiHidden/>
    <w:unhideWhenUsed/>
    <w:qFormat/>
    <w:uiPriority w:val="99"/>
    <w:pPr>
      <w:spacing w:line="240" w:lineRule="auto"/>
    </w:pPr>
    <w:rPr>
      <w:sz w:val="18"/>
      <w:szCs w:val="18"/>
    </w:rPr>
  </w:style>
  <w:style w:type="paragraph" w:styleId="15">
    <w:name w:val="footer"/>
    <w:basedOn w:val="1"/>
    <w:link w:val="31"/>
    <w:autoRedefine/>
    <w:unhideWhenUsed/>
    <w:qFormat/>
    <w:uiPriority w:val="99"/>
    <w:pPr>
      <w:tabs>
        <w:tab w:val="center" w:pos="4153"/>
        <w:tab w:val="right" w:pos="8306"/>
      </w:tabs>
      <w:snapToGrid w:val="0"/>
      <w:jc w:val="left"/>
    </w:pPr>
    <w:rPr>
      <w:sz w:val="18"/>
      <w:szCs w:val="18"/>
    </w:rPr>
  </w:style>
  <w:style w:type="paragraph" w:styleId="16">
    <w:name w:val="envelope return"/>
    <w:basedOn w:val="1"/>
    <w:qFormat/>
    <w:uiPriority w:val="0"/>
    <w:pPr>
      <w:snapToGrid w:val="0"/>
      <w:spacing w:line="274" w:lineRule="auto"/>
      <w:ind w:firstLine="200" w:firstLineChars="200"/>
    </w:pPr>
    <w:rPr>
      <w:rFonts w:ascii="Arial" w:hAnsi="Arial" w:cs="Times New Roman"/>
    </w:rPr>
  </w:style>
  <w:style w:type="paragraph" w:styleId="17">
    <w:name w:val="header"/>
    <w:basedOn w:val="1"/>
    <w:link w:val="3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Subtitle"/>
    <w:basedOn w:val="1"/>
    <w:next w:val="1"/>
    <w:link w:val="41"/>
    <w:qFormat/>
    <w:uiPriority w:val="11"/>
    <w:pPr>
      <w:spacing w:before="240" w:after="120" w:line="312" w:lineRule="auto"/>
      <w:ind w:left="100" w:leftChars="100" w:right="100" w:rightChars="100" w:firstLine="200" w:firstLineChars="200"/>
      <w:jc w:val="center"/>
      <w:outlineLvl w:val="1"/>
    </w:pPr>
    <w:rPr>
      <w:rFonts w:ascii="Cambria" w:hAnsi="Cambria" w:eastAsia="仿宋_GB2312" w:cs="Times New Roman"/>
      <w:b/>
      <w:bCs/>
      <w:kern w:val="28"/>
      <w:sz w:val="32"/>
      <w:szCs w:val="32"/>
    </w:rPr>
  </w:style>
  <w:style w:type="paragraph" w:styleId="19">
    <w:name w:val="Normal (Web)"/>
    <w:basedOn w:val="1"/>
    <w:autoRedefine/>
    <w:unhideWhenUsed/>
    <w:qFormat/>
    <w:uiPriority w:val="99"/>
    <w:pPr>
      <w:spacing w:before="100" w:beforeAutospacing="1" w:after="100" w:afterAutospacing="1"/>
      <w:jc w:val="left"/>
    </w:pPr>
    <w:rPr>
      <w:rFonts w:ascii="Times New Roman" w:hAnsi="Times New Roman" w:cs="Times New Roman"/>
      <w:kern w:val="0"/>
      <w:szCs w:val="20"/>
    </w:rPr>
  </w:style>
  <w:style w:type="paragraph" w:styleId="20">
    <w:name w:val="annotation subject"/>
    <w:basedOn w:val="6"/>
    <w:next w:val="6"/>
    <w:link w:val="45"/>
    <w:semiHidden/>
    <w:unhideWhenUsed/>
    <w:qFormat/>
    <w:uiPriority w:val="99"/>
    <w:pPr>
      <w:spacing w:line="440" w:lineRule="exact"/>
      <w:ind w:firstLine="0" w:firstLineChars="0"/>
    </w:pPr>
    <w:rPr>
      <w:rFonts w:ascii="宋体" w:hAnsi="宋体" w:cstheme="minorBidi"/>
      <w:b/>
      <w:bCs/>
    </w:rPr>
  </w:style>
  <w:style w:type="paragraph" w:styleId="21">
    <w:name w:val="Body Text First Indent 2"/>
    <w:basedOn w:val="11"/>
    <w:semiHidden/>
    <w:unhideWhenUsed/>
    <w:qFormat/>
    <w:uiPriority w:val="99"/>
    <w:pPr>
      <w:ind w:firstLine="420" w:firstLineChars="200"/>
    </w:pPr>
  </w:style>
  <w:style w:type="table" w:styleId="23">
    <w:name w:val="Table Grid"/>
    <w:basedOn w:val="22"/>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FollowedHyperlink"/>
    <w:basedOn w:val="24"/>
    <w:semiHidden/>
    <w:unhideWhenUsed/>
    <w:qFormat/>
    <w:uiPriority w:val="99"/>
    <w:rPr>
      <w:color w:val="954F72" w:themeColor="followedHyperlink"/>
      <w:u w:val="single"/>
      <w14:textFill>
        <w14:solidFill>
          <w14:schemeClr w14:val="folHlink"/>
        </w14:solidFill>
      </w14:textFill>
    </w:rPr>
  </w:style>
  <w:style w:type="character" w:styleId="26">
    <w:name w:val="Hyperlink"/>
    <w:basedOn w:val="24"/>
    <w:unhideWhenUsed/>
    <w:qFormat/>
    <w:uiPriority w:val="99"/>
    <w:rPr>
      <w:color w:val="0000FF"/>
      <w:u w:val="single"/>
    </w:rPr>
  </w:style>
  <w:style w:type="character" w:styleId="27">
    <w:name w:val="annotation reference"/>
    <w:basedOn w:val="24"/>
    <w:semiHidden/>
    <w:unhideWhenUsed/>
    <w:qFormat/>
    <w:uiPriority w:val="99"/>
    <w:rPr>
      <w:sz w:val="21"/>
      <w:szCs w:val="21"/>
    </w:rPr>
  </w:style>
  <w:style w:type="character" w:customStyle="1" w:styleId="28">
    <w:name w:val="标题 3 字符"/>
    <w:basedOn w:val="24"/>
    <w:link w:val="4"/>
    <w:qFormat/>
    <w:uiPriority w:val="0"/>
    <w:rPr>
      <w:rFonts w:eastAsia="仿宋_GB2312"/>
      <w:b/>
      <w:bCs/>
      <w:kern w:val="2"/>
      <w:sz w:val="28"/>
      <w:szCs w:val="32"/>
    </w:rPr>
  </w:style>
  <w:style w:type="paragraph" w:styleId="29">
    <w:name w:val="List Paragraph"/>
    <w:basedOn w:val="1"/>
    <w:autoRedefine/>
    <w:qFormat/>
    <w:uiPriority w:val="34"/>
    <w:pPr>
      <w:numPr>
        <w:ilvl w:val="0"/>
        <w:numId w:val="1"/>
      </w:numPr>
    </w:pPr>
    <w:rPr>
      <w:rFonts w:ascii="Times New Roman" w:hAnsi="Times New Roman" w:cs="Times New Roman"/>
      <w:b/>
      <w:bCs/>
    </w:rPr>
  </w:style>
  <w:style w:type="character" w:customStyle="1" w:styleId="30">
    <w:name w:val="页眉 字符"/>
    <w:basedOn w:val="24"/>
    <w:link w:val="17"/>
    <w:autoRedefine/>
    <w:qFormat/>
    <w:uiPriority w:val="99"/>
    <w:rPr>
      <w:sz w:val="18"/>
      <w:szCs w:val="18"/>
    </w:rPr>
  </w:style>
  <w:style w:type="character" w:customStyle="1" w:styleId="31">
    <w:name w:val="页脚 字符"/>
    <w:basedOn w:val="24"/>
    <w:link w:val="15"/>
    <w:autoRedefine/>
    <w:qFormat/>
    <w:uiPriority w:val="99"/>
    <w:rPr>
      <w:sz w:val="18"/>
      <w:szCs w:val="18"/>
    </w:rPr>
  </w:style>
  <w:style w:type="paragraph" w:customStyle="1" w:styleId="32">
    <w:name w:val="Blockquote"/>
    <w:basedOn w:val="1"/>
    <w:autoRedefine/>
    <w:qFormat/>
    <w:uiPriority w:val="99"/>
    <w:pPr>
      <w:overflowPunct w:val="0"/>
      <w:autoSpaceDE w:val="0"/>
      <w:autoSpaceDN w:val="0"/>
      <w:adjustRightInd w:val="0"/>
      <w:spacing w:before="100" w:after="100"/>
      <w:ind w:left="764" w:right="567"/>
      <w:jc w:val="left"/>
    </w:pPr>
    <w:rPr>
      <w:kern w:val="0"/>
    </w:rPr>
  </w:style>
  <w:style w:type="character" w:customStyle="1" w:styleId="33">
    <w:name w:val="正文文本 字符"/>
    <w:basedOn w:val="24"/>
    <w:link w:val="7"/>
    <w:qFormat/>
    <w:uiPriority w:val="0"/>
    <w:rPr>
      <w:rFonts w:cstheme="minorBidi"/>
      <w:kern w:val="2"/>
      <w:sz w:val="24"/>
      <w:szCs w:val="24"/>
    </w:rPr>
  </w:style>
  <w:style w:type="character" w:customStyle="1" w:styleId="34">
    <w:name w:val="纯文本 字符"/>
    <w:link w:val="13"/>
    <w:qFormat/>
    <w:locked/>
    <w:uiPriority w:val="0"/>
    <w:rPr>
      <w:rFonts w:ascii="宋体" w:hAnsi="Courier New" w:eastAsiaTheme="minorEastAsia" w:cstheme="minorBidi"/>
      <w:kern w:val="2"/>
      <w:sz w:val="21"/>
      <w:szCs w:val="22"/>
    </w:rPr>
  </w:style>
  <w:style w:type="character" w:customStyle="1" w:styleId="35">
    <w:name w:val="Body text|1_"/>
    <w:basedOn w:val="24"/>
    <w:link w:val="36"/>
    <w:qFormat/>
    <w:uiPriority w:val="0"/>
    <w:rPr>
      <w:rFonts w:ascii="MingLiU" w:hAnsi="MingLiU" w:eastAsia="MingLiU" w:cs="MingLiU"/>
      <w:lang w:val="zh-TW" w:eastAsia="zh-TW" w:bidi="zh-TW"/>
    </w:rPr>
  </w:style>
  <w:style w:type="paragraph" w:customStyle="1" w:styleId="36">
    <w:name w:val="Body text|1"/>
    <w:basedOn w:val="1"/>
    <w:link w:val="35"/>
    <w:qFormat/>
    <w:uiPriority w:val="0"/>
    <w:pPr>
      <w:spacing w:line="470" w:lineRule="auto"/>
      <w:ind w:firstLine="400"/>
      <w:jc w:val="left"/>
    </w:pPr>
    <w:rPr>
      <w:rFonts w:ascii="MingLiU" w:hAnsi="MingLiU" w:eastAsia="MingLiU" w:cs="MingLiU"/>
      <w:kern w:val="0"/>
      <w:sz w:val="20"/>
      <w:szCs w:val="20"/>
      <w:lang w:val="zh-TW" w:eastAsia="zh-TW" w:bidi="zh-TW"/>
    </w:rPr>
  </w:style>
  <w:style w:type="character" w:customStyle="1" w:styleId="37">
    <w:name w:val="批注文字 字符"/>
    <w:basedOn w:val="24"/>
    <w:semiHidden/>
    <w:qFormat/>
    <w:uiPriority w:val="99"/>
    <w:rPr>
      <w:rFonts w:asciiTheme="minorHAnsi" w:hAnsiTheme="minorHAnsi" w:eastAsiaTheme="minorEastAsia" w:cstheme="minorBidi"/>
      <w:kern w:val="2"/>
      <w:sz w:val="21"/>
      <w:szCs w:val="22"/>
    </w:rPr>
  </w:style>
  <w:style w:type="character" w:customStyle="1" w:styleId="38">
    <w:name w:val="批注文字 字符1"/>
    <w:link w:val="6"/>
    <w:qFormat/>
    <w:uiPriority w:val="0"/>
    <w:rPr>
      <w:rFonts w:ascii="Calibri" w:hAnsi="Calibri"/>
      <w:kern w:val="2"/>
      <w:sz w:val="24"/>
      <w:szCs w:val="24"/>
    </w:rPr>
  </w:style>
  <w:style w:type="paragraph" w:customStyle="1" w:styleId="39">
    <w:name w:val="Table Paragraph"/>
    <w:basedOn w:val="1"/>
    <w:qFormat/>
    <w:uiPriority w:val="1"/>
    <w:pPr>
      <w:autoSpaceDE w:val="0"/>
      <w:autoSpaceDN w:val="0"/>
      <w:jc w:val="left"/>
    </w:pPr>
    <w:rPr>
      <w:rFonts w:cs="宋体"/>
      <w:kern w:val="0"/>
      <w:sz w:val="22"/>
      <w:lang w:val="zh-CN" w:bidi="zh-CN"/>
    </w:rPr>
  </w:style>
  <w:style w:type="table" w:customStyle="1" w:styleId="40">
    <w:name w:val="Table Normal"/>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character" w:customStyle="1" w:styleId="41">
    <w:name w:val="副标题 字符"/>
    <w:basedOn w:val="24"/>
    <w:link w:val="18"/>
    <w:qFormat/>
    <w:uiPriority w:val="11"/>
    <w:rPr>
      <w:rFonts w:ascii="Cambria" w:hAnsi="Cambria" w:eastAsia="仿宋_GB2312"/>
      <w:b/>
      <w:bCs/>
      <w:kern w:val="28"/>
      <w:sz w:val="32"/>
      <w:szCs w:val="32"/>
    </w:rPr>
  </w:style>
  <w:style w:type="character" w:customStyle="1" w:styleId="42">
    <w:name w:val="未处理的提及1"/>
    <w:basedOn w:val="24"/>
    <w:semiHidden/>
    <w:unhideWhenUsed/>
    <w:qFormat/>
    <w:uiPriority w:val="99"/>
    <w:rPr>
      <w:color w:val="605E5C"/>
      <w:shd w:val="clear" w:color="auto" w:fill="E1DFDD"/>
    </w:rPr>
  </w:style>
  <w:style w:type="character" w:customStyle="1" w:styleId="43">
    <w:name w:val="批注框文本 字符"/>
    <w:basedOn w:val="24"/>
    <w:link w:val="14"/>
    <w:semiHidden/>
    <w:qFormat/>
    <w:uiPriority w:val="99"/>
    <w:rPr>
      <w:rFonts w:ascii="宋体" w:hAnsi="宋体" w:cstheme="minorBidi"/>
      <w:kern w:val="2"/>
      <w:sz w:val="18"/>
      <w:szCs w:val="18"/>
    </w:rPr>
  </w:style>
  <w:style w:type="character" w:customStyle="1" w:styleId="44">
    <w:name w:val="font11"/>
    <w:basedOn w:val="24"/>
    <w:qFormat/>
    <w:uiPriority w:val="0"/>
    <w:rPr>
      <w:rFonts w:hint="eastAsia" w:ascii="宋体" w:hAnsi="宋体" w:eastAsia="宋体" w:cs="宋体"/>
      <w:color w:val="000000"/>
      <w:sz w:val="22"/>
      <w:szCs w:val="22"/>
      <w:u w:val="none"/>
    </w:rPr>
  </w:style>
  <w:style w:type="character" w:customStyle="1" w:styleId="45">
    <w:name w:val="批注主题 字符"/>
    <w:basedOn w:val="38"/>
    <w:link w:val="20"/>
    <w:semiHidden/>
    <w:qFormat/>
    <w:uiPriority w:val="99"/>
    <w:rPr>
      <w:rFonts w:ascii="宋体" w:hAnsi="宋体" w:cstheme="minorBidi"/>
      <w:b/>
      <w:bCs/>
      <w:kern w:val="2"/>
      <w:sz w:val="24"/>
      <w:szCs w:val="24"/>
    </w:rPr>
  </w:style>
  <w:style w:type="character" w:customStyle="1" w:styleId="46">
    <w:name w:val="font131"/>
    <w:basedOn w:val="24"/>
    <w:qFormat/>
    <w:uiPriority w:val="0"/>
    <w:rPr>
      <w:rFonts w:hint="eastAsia" w:ascii="宋体" w:hAnsi="宋体" w:eastAsia="宋体" w:cs="宋体"/>
      <w:b/>
      <w:bCs/>
      <w:color w:val="000000"/>
      <w:sz w:val="16"/>
      <w:szCs w:val="16"/>
      <w:u w:val="none"/>
    </w:rPr>
  </w:style>
  <w:style w:type="character" w:customStyle="1" w:styleId="47">
    <w:name w:val="font51"/>
    <w:basedOn w:val="24"/>
    <w:qFormat/>
    <w:uiPriority w:val="0"/>
    <w:rPr>
      <w:rFonts w:hint="eastAsia" w:ascii="宋体" w:hAnsi="宋体" w:eastAsia="宋体" w:cs="宋体"/>
      <w:color w:val="000000"/>
      <w:sz w:val="16"/>
      <w:szCs w:val="16"/>
      <w:u w:val="none"/>
    </w:rPr>
  </w:style>
  <w:style w:type="character" w:customStyle="1" w:styleId="48">
    <w:name w:val="font31"/>
    <w:basedOn w:val="24"/>
    <w:qFormat/>
    <w:uiPriority w:val="0"/>
    <w:rPr>
      <w:rFonts w:hint="eastAsia" w:ascii="宋体" w:hAnsi="宋体" w:eastAsia="宋体" w:cs="宋体"/>
      <w:b/>
      <w:bCs/>
      <w:color w:val="000000"/>
      <w:sz w:val="16"/>
      <w:szCs w:val="16"/>
      <w:u w:val="none"/>
    </w:rPr>
  </w:style>
  <w:style w:type="character" w:customStyle="1" w:styleId="49">
    <w:name w:val="font41"/>
    <w:basedOn w:val="24"/>
    <w:qFormat/>
    <w:uiPriority w:val="0"/>
    <w:rPr>
      <w:rFonts w:hint="eastAsia" w:ascii="宋体" w:hAnsi="宋体" w:eastAsia="宋体" w:cs="宋体"/>
      <w:color w:val="000000"/>
      <w:sz w:val="16"/>
      <w:szCs w:val="16"/>
      <w:u w:val="none"/>
    </w:rPr>
  </w:style>
  <w:style w:type="character" w:customStyle="1" w:styleId="50">
    <w:name w:val="font171"/>
    <w:basedOn w:val="24"/>
    <w:qFormat/>
    <w:uiPriority w:val="0"/>
    <w:rPr>
      <w:rFonts w:hint="eastAsia" w:ascii="宋体" w:hAnsi="宋体" w:eastAsia="宋体" w:cs="宋体"/>
      <w:b/>
      <w:bCs/>
      <w:color w:val="000000"/>
      <w:sz w:val="20"/>
      <w:szCs w:val="20"/>
      <w:u w:val="none"/>
    </w:rPr>
  </w:style>
  <w:style w:type="paragraph" w:customStyle="1" w:styleId="51">
    <w:name w:val="Normal1"/>
    <w:next w:val="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52">
    <w:name w:val="二级目录"/>
    <w:next w:val="1"/>
    <w:qFormat/>
    <w:uiPriority w:val="99"/>
    <w:pPr>
      <w:tabs>
        <w:tab w:val="left" w:pos="907"/>
        <w:tab w:val="left" w:pos="1145"/>
      </w:tabs>
      <w:ind w:left="907" w:hanging="907"/>
      <w:outlineLvl w:val="1"/>
    </w:pPr>
    <w:rPr>
      <w:rFonts w:ascii="Calibri" w:hAnsi="Calibri" w:eastAsia="宋体" w:cs="Times New Roman"/>
      <w:b/>
      <w:sz w:val="30"/>
      <w:szCs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45645-D69A-4225-A8F8-93E975F6F12A}">
  <ds:schemaRefs/>
</ds:datastoreItem>
</file>

<file path=docProps/app.xml><?xml version="1.0" encoding="utf-8"?>
<Properties xmlns="http://schemas.openxmlformats.org/officeDocument/2006/extended-properties" xmlns:vt="http://schemas.openxmlformats.org/officeDocument/2006/docPropsVTypes">
  <Template>Normal</Template>
  <Company>中国矿业大学徐海学院</Company>
  <Pages>13</Pages>
  <Words>6151</Words>
  <Characters>6450</Characters>
  <Lines>45</Lines>
  <Paragraphs>12</Paragraphs>
  <TotalTime>50</TotalTime>
  <ScaleCrop>false</ScaleCrop>
  <LinksUpToDate>false</LinksUpToDate>
  <CharactersWithSpaces>6829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2026-09-14T01:43:00Z</dcterms:created>
  <dc:creator>余强</dc:creator>
  <cp:lastModifiedBy>Tiger.</cp:lastModifiedBy>
  <cp:lastPrinted>2025-07-14T06:01:00Z</cp:lastPrinted>
  <dcterms:modified xsi:type="dcterms:W3CDTF">2026-09-15T03:14:10Z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BF87C25E575A44EDAD82C757C7B4F4B7_13</vt:lpwstr>
  </property>
  <property fmtid="{D5CDD505-2E9C-101B-9397-08002B2CF9AE}" pid="4" name="KSOTemplateDocerSaveRecord">
    <vt:lpwstr>eyJoZGlkIjoiYjFlOTEyMmZlZWExMWYxMmRlN2M1ZTg0ZWM1NmU4NTIiLCJ1c2VySWQiOiI0NjA5MDM1NTcifQ==</vt:lpwstr>
  </property>
</Properties>
</file>